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C51A" w14:textId="77777777" w:rsidR="007F179E" w:rsidRDefault="007F179E" w:rsidP="00CB43AF">
      <w:pPr>
        <w:pStyle w:val="Title"/>
      </w:pPr>
      <w:r>
        <w:t>Software Currency Policy Template</w:t>
      </w:r>
    </w:p>
    <w:p w14:paraId="5302C51B" w14:textId="77777777" w:rsidR="007F179E" w:rsidRPr="007F179E" w:rsidRDefault="007F179E" w:rsidP="007F179E">
      <w:pPr>
        <w:pStyle w:val="Subtitle"/>
        <w:rPr>
          <w:rFonts w:eastAsia="Times New Roman"/>
        </w:rPr>
      </w:pPr>
      <w:r w:rsidRPr="007F179E">
        <w:rPr>
          <w:rFonts w:eastAsia="Times New Roman"/>
        </w:rPr>
        <w:t>Why is DIR publishing this template?</w:t>
      </w:r>
    </w:p>
    <w:p w14:paraId="5302C51C" w14:textId="77777777" w:rsidR="004B466A" w:rsidRDefault="007F179E" w:rsidP="007F179E">
      <w:r>
        <w:t>One of t</w:t>
      </w:r>
      <w:r w:rsidRPr="007F179E">
        <w:t xml:space="preserve">he </w:t>
      </w:r>
      <w:r>
        <w:t xml:space="preserve">goals in the </w:t>
      </w:r>
      <w:r w:rsidRPr="007F179E">
        <w:t xml:space="preserve">2016-2020 State Strategic Plan for Information Resources </w:t>
      </w:r>
      <w:r>
        <w:t>encourages</w:t>
      </w:r>
      <w:r w:rsidRPr="007F179E">
        <w:t xml:space="preserve"> state </w:t>
      </w:r>
      <w:r w:rsidR="00AC5A19">
        <w:t>agenc</w:t>
      </w:r>
      <w:r w:rsidR="00286C4A">
        <w:t>ies</w:t>
      </w:r>
      <w:r w:rsidRPr="007F179E">
        <w:t xml:space="preserve"> and institutions of higher education</w:t>
      </w:r>
      <w:r>
        <w:t xml:space="preserve"> to</w:t>
      </w:r>
      <w:r w:rsidRPr="007F179E">
        <w:t xml:space="preserve"> “develop and adhere to a software currency policy that reduces the use of unsupported software and decreases security vulnerabilities in state agency IT systems.”  Customers </w:t>
      </w:r>
      <w:r>
        <w:t>participating</w:t>
      </w:r>
      <w:r w:rsidRPr="007F179E">
        <w:t xml:space="preserve"> in the Data Center Services </w:t>
      </w:r>
      <w:r w:rsidR="003015FA">
        <w:t xml:space="preserve">(DCS) </w:t>
      </w:r>
      <w:r w:rsidRPr="007F179E">
        <w:t>Program are subject to a similar policy</w:t>
      </w:r>
      <w:r>
        <w:t xml:space="preserve"> </w:t>
      </w:r>
    </w:p>
    <w:p w14:paraId="5302C51D" w14:textId="77777777" w:rsidR="007F179E" w:rsidRDefault="007F179E" w:rsidP="007F179E">
      <w:pPr>
        <w:pStyle w:val="Subtitle"/>
      </w:pPr>
      <w:r>
        <w:t>How do I use this template?</w:t>
      </w:r>
    </w:p>
    <w:p w14:paraId="5302C51E" w14:textId="77777777" w:rsidR="008A7AE1" w:rsidRDefault="008A7AE1" w:rsidP="008A7AE1">
      <w:r>
        <w:t xml:space="preserve">This template is not a guideline for action at your agency. It is a starting point for developing internal policy and includes best practices for software currency.  </w:t>
      </w:r>
    </w:p>
    <w:p w14:paraId="5302C51F" w14:textId="77777777" w:rsidR="00734BDA" w:rsidRDefault="006A51FB" w:rsidP="007F179E">
      <w:r>
        <w:t xml:space="preserve">This template </w:t>
      </w:r>
      <w:r w:rsidR="006B04B8">
        <w:t xml:space="preserve">is recommended for </w:t>
      </w:r>
      <w:r w:rsidR="007F179E" w:rsidRPr="007F179E">
        <w:t xml:space="preserve">use by </w:t>
      </w:r>
      <w:r w:rsidR="00286C4A">
        <w:t>state agencies</w:t>
      </w:r>
      <w:r w:rsidR="007F179E" w:rsidRPr="007F179E">
        <w:t xml:space="preserve"> </w:t>
      </w:r>
      <w:r>
        <w:t xml:space="preserve">as a basis for </w:t>
      </w:r>
      <w:r w:rsidR="00A35DA5">
        <w:t xml:space="preserve">the </w:t>
      </w:r>
      <w:r w:rsidR="00AC5A19">
        <w:t>agency</w:t>
      </w:r>
      <w:r w:rsidR="00286C4A">
        <w:t>’s</w:t>
      </w:r>
      <w:r>
        <w:t xml:space="preserve"> Software Currency Policy.  Each agency must consider their tolerance</w:t>
      </w:r>
      <w:r w:rsidR="006B04B8">
        <w:t xml:space="preserve"> and risk exposure</w:t>
      </w:r>
      <w:r>
        <w:t xml:space="preserve"> for running unsupported software.</w:t>
      </w:r>
      <w:r w:rsidR="00FD4A4E">
        <w:t xml:space="preserve"> Reference the DIR </w:t>
      </w:r>
      <w:r w:rsidR="00FD4A4E" w:rsidRPr="00FD4A4E">
        <w:t>Policy Template and Examples</w:t>
      </w:r>
      <w:r w:rsidR="00FD4A4E">
        <w:t xml:space="preserve"> </w:t>
      </w:r>
      <w:r w:rsidR="00031A46">
        <w:t xml:space="preserve">found </w:t>
      </w:r>
      <w:r w:rsidR="008A7AE1">
        <w:t xml:space="preserve">on the </w:t>
      </w:r>
      <w:hyperlink r:id="rId11" w:history="1">
        <w:r w:rsidR="008A7AE1" w:rsidRPr="008A7AE1">
          <w:rPr>
            <w:rStyle w:val="Hyperlink"/>
          </w:rPr>
          <w:t>DIR website</w:t>
        </w:r>
      </w:hyperlink>
      <w:r w:rsidR="008A7AE1">
        <w:t xml:space="preserve"> f</w:t>
      </w:r>
      <w:r w:rsidR="00FD4A4E">
        <w:t>or additional information</w:t>
      </w:r>
      <w:r w:rsidR="007D53C1">
        <w:t xml:space="preserve"> on writing policies</w:t>
      </w:r>
      <w:r w:rsidR="00FD4A4E">
        <w:t>.</w:t>
      </w:r>
    </w:p>
    <w:p w14:paraId="5302C520" w14:textId="77777777" w:rsidR="0037505E" w:rsidRDefault="004C42B3" w:rsidP="004C42B3">
      <w:pPr>
        <w:pStyle w:val="Subtitle"/>
      </w:pPr>
      <w:r>
        <w:t xml:space="preserve">Why </w:t>
      </w:r>
      <w:r w:rsidR="00076371">
        <w:t>do I need</w:t>
      </w:r>
      <w:r>
        <w:t xml:space="preserve"> a Software Currency Policy</w:t>
      </w:r>
      <w:r w:rsidR="0037505E">
        <w:t>?</w:t>
      </w:r>
    </w:p>
    <w:p w14:paraId="5302C521" w14:textId="77777777" w:rsidR="00031A46" w:rsidRDefault="00BE05E0" w:rsidP="00BE05E0">
      <w:r>
        <w:t xml:space="preserve">A Software Currency Policy ensures executives, financial officers, and technical staff </w:t>
      </w:r>
      <w:r w:rsidR="006A51FB">
        <w:t>agree on the</w:t>
      </w:r>
      <w:r w:rsidR="007D53C1">
        <w:t xml:space="preserve"> importance </w:t>
      </w:r>
      <w:r>
        <w:t>for up-to-date software</w:t>
      </w:r>
      <w:r w:rsidR="007D53C1">
        <w:t xml:space="preserve"> and the </w:t>
      </w:r>
      <w:r>
        <w:t xml:space="preserve">cost and risk </w:t>
      </w:r>
      <w:r w:rsidR="00031A46">
        <w:t xml:space="preserve">that is </w:t>
      </w:r>
      <w:r>
        <w:t xml:space="preserve">inherent in managing unsupported software products.  </w:t>
      </w:r>
    </w:p>
    <w:p w14:paraId="5302C522" w14:textId="77777777" w:rsidR="004C42B3" w:rsidRDefault="004C42B3" w:rsidP="00BE05E0">
      <w:r>
        <w:t>DIR recommends</w:t>
      </w:r>
      <w:r w:rsidRPr="004C42B3">
        <w:t xml:space="preserve"> </w:t>
      </w:r>
      <w:r w:rsidR="007D53C1">
        <w:t>the agencies include software currency as an integral part of their technology roadmap.</w:t>
      </w:r>
      <w:r>
        <w:t xml:space="preserve"> The roadmap should consider a</w:t>
      </w:r>
      <w:r w:rsidR="00A95127">
        <w:t xml:space="preserve">t </w:t>
      </w:r>
      <w:r w:rsidR="00F71C16">
        <w:t>minimum</w:t>
      </w:r>
      <w:r w:rsidR="00031A46">
        <w:t xml:space="preserve"> </w:t>
      </w:r>
      <w:r w:rsidR="00A95127">
        <w:t>a</w:t>
      </w:r>
      <w:r w:rsidR="007D53C1">
        <w:t xml:space="preserve"> three-</w:t>
      </w:r>
      <w:r>
        <w:t>year horizon to coincid</w:t>
      </w:r>
      <w:r w:rsidR="007D53C1">
        <w:t>e with the state budget cycle and establish</w:t>
      </w:r>
      <w:r>
        <w:t xml:space="preserve"> a plan </w:t>
      </w:r>
      <w:r w:rsidR="00031A46">
        <w:t xml:space="preserve">and budget </w:t>
      </w:r>
      <w:r>
        <w:t xml:space="preserve">for </w:t>
      </w:r>
      <w:r w:rsidR="000514FF">
        <w:t>upgrading</w:t>
      </w:r>
      <w:r>
        <w:t xml:space="preserve"> software before it goes out of support and become</w:t>
      </w:r>
      <w:r w:rsidR="00031A46">
        <w:t>s</w:t>
      </w:r>
      <w:r>
        <w:t xml:space="preserve"> high risk</w:t>
      </w:r>
      <w:r w:rsidR="00A95127">
        <w:t xml:space="preserve"> (</w:t>
      </w:r>
      <w:r w:rsidR="00031A46">
        <w:t xml:space="preserve">i.e. </w:t>
      </w:r>
      <w:r w:rsidR="00A95127">
        <w:t>security risk, disrupt</w:t>
      </w:r>
      <w:r w:rsidR="007D53C1">
        <w:t>ion from loss of service)</w:t>
      </w:r>
      <w:r>
        <w:t xml:space="preserve">.  </w:t>
      </w:r>
    </w:p>
    <w:p w14:paraId="5302C523" w14:textId="77777777" w:rsidR="00406004" w:rsidRDefault="00406004" w:rsidP="00BE05E0"/>
    <w:p w14:paraId="5302C524" w14:textId="77777777" w:rsidR="00CB43AF" w:rsidRDefault="00CB43AF">
      <w:pPr>
        <w:rPr>
          <w:smallCaps/>
          <w:color w:val="323E4F" w:themeColor="text2" w:themeShade="BF"/>
          <w:spacing w:val="5"/>
          <w:kern w:val="28"/>
          <w:sz w:val="36"/>
          <w:szCs w:val="36"/>
        </w:rPr>
      </w:pPr>
      <w:r>
        <w:rPr>
          <w:smallCaps/>
          <w:color w:val="323E4F" w:themeColor="text2" w:themeShade="BF"/>
          <w:spacing w:val="5"/>
          <w:kern w:val="28"/>
          <w:sz w:val="36"/>
          <w:szCs w:val="36"/>
        </w:rPr>
        <w:br w:type="page"/>
      </w:r>
    </w:p>
    <w:p w14:paraId="5302C525" w14:textId="77777777" w:rsidR="00A23022" w:rsidRDefault="00A23022" w:rsidP="00CB43AF">
      <w:pPr>
        <w:pStyle w:val="Title"/>
      </w:pPr>
      <w:r w:rsidRPr="00CB43AF">
        <w:t>Example</w:t>
      </w:r>
      <w:r>
        <w:t xml:space="preserve"> Software </w:t>
      </w:r>
      <w:r w:rsidRPr="00CB43AF">
        <w:t>Currency</w:t>
      </w:r>
      <w:r>
        <w:t xml:space="preserve"> Policy Language</w:t>
      </w:r>
    </w:p>
    <w:p w14:paraId="5302C526" w14:textId="77777777" w:rsidR="00DA1862" w:rsidRPr="00CB43AF" w:rsidRDefault="00DA1862" w:rsidP="00CB43AF">
      <w:pPr>
        <w:pStyle w:val="Heading1"/>
      </w:pPr>
      <w:r w:rsidRPr="00CB43AF">
        <w:t>Overview</w:t>
      </w:r>
    </w:p>
    <w:p w14:paraId="5302C527" w14:textId="77777777" w:rsidR="00CA14E6" w:rsidRDefault="002408D4" w:rsidP="00163BA4">
      <w:pPr>
        <w:spacing w:after="0"/>
        <w:rPr>
          <w:rFonts w:eastAsia="Calibri"/>
        </w:rPr>
      </w:pPr>
      <w:r>
        <w:rPr>
          <w:rFonts w:eastAsia="Calibri"/>
        </w:rPr>
        <w:t xml:space="preserve">Government </w:t>
      </w:r>
      <w:r w:rsidR="00163BA4" w:rsidRPr="00163BA4">
        <w:rPr>
          <w:rFonts w:eastAsia="Calibri"/>
        </w:rPr>
        <w:t xml:space="preserve">has a responsibility to maintain vendor supported </w:t>
      </w:r>
      <w:r w:rsidR="00CA14E6">
        <w:rPr>
          <w:rFonts w:eastAsia="Calibri"/>
        </w:rPr>
        <w:t>s</w:t>
      </w:r>
      <w:r w:rsidR="00163BA4" w:rsidRPr="00163BA4">
        <w:rPr>
          <w:rFonts w:eastAsia="Calibri"/>
        </w:rPr>
        <w:t xml:space="preserve">oftware across the </w:t>
      </w:r>
      <w:r w:rsidR="001E177B">
        <w:rPr>
          <w:rFonts w:eastAsia="Calibri"/>
        </w:rPr>
        <w:t>agency</w:t>
      </w:r>
      <w:r>
        <w:rPr>
          <w:rFonts w:eastAsia="Calibri"/>
        </w:rPr>
        <w:t xml:space="preserve"> to ensure the safety and security of </w:t>
      </w:r>
      <w:r w:rsidR="00B570E8">
        <w:rPr>
          <w:rFonts w:eastAsia="Calibri"/>
        </w:rPr>
        <w:t xml:space="preserve">software, systems, and </w:t>
      </w:r>
      <w:r>
        <w:rPr>
          <w:rFonts w:eastAsia="Calibri"/>
        </w:rPr>
        <w:t>data.</w:t>
      </w:r>
      <w:r w:rsidR="00163BA4" w:rsidRPr="00163BA4">
        <w:rPr>
          <w:rFonts w:eastAsia="Calibri"/>
        </w:rPr>
        <w:t xml:space="preserve"> All </w:t>
      </w:r>
      <w:r>
        <w:rPr>
          <w:rFonts w:eastAsia="Calibri"/>
        </w:rPr>
        <w:t>s</w:t>
      </w:r>
      <w:r w:rsidR="00163BA4" w:rsidRPr="00163BA4">
        <w:rPr>
          <w:rFonts w:eastAsia="Calibri"/>
        </w:rPr>
        <w:t>oftware ev</w:t>
      </w:r>
      <w:r>
        <w:rPr>
          <w:rFonts w:eastAsia="Calibri"/>
        </w:rPr>
        <w:t>entually become</w:t>
      </w:r>
      <w:r w:rsidR="00F71C16">
        <w:rPr>
          <w:rFonts w:eastAsia="Calibri"/>
        </w:rPr>
        <w:t>s</w:t>
      </w:r>
      <w:r>
        <w:rPr>
          <w:rFonts w:eastAsia="Calibri"/>
        </w:rPr>
        <w:t xml:space="preserve"> out of support </w:t>
      </w:r>
      <w:r w:rsidR="00163BA4" w:rsidRPr="00163BA4">
        <w:rPr>
          <w:rFonts w:eastAsia="Calibri"/>
        </w:rPr>
        <w:t xml:space="preserve">or unsupported </w:t>
      </w:r>
      <w:r w:rsidR="00F71C16">
        <w:rPr>
          <w:rFonts w:eastAsia="Calibri"/>
        </w:rPr>
        <w:t>depending upon</w:t>
      </w:r>
      <w:r w:rsidR="00F71C16" w:rsidRPr="00163BA4">
        <w:rPr>
          <w:rFonts w:eastAsia="Calibri"/>
        </w:rPr>
        <w:t xml:space="preserve"> </w:t>
      </w:r>
      <w:r w:rsidR="00F71C16">
        <w:rPr>
          <w:rFonts w:eastAsia="Calibri"/>
        </w:rPr>
        <w:t>the</w:t>
      </w:r>
      <w:r w:rsidR="00163BA4" w:rsidRPr="00163BA4">
        <w:rPr>
          <w:rFonts w:eastAsia="Calibri"/>
        </w:rPr>
        <w:t xml:space="preserve"> software development lifecycles.</w:t>
      </w:r>
      <w:r w:rsidR="00CA14E6">
        <w:rPr>
          <w:rFonts w:eastAsia="Calibri"/>
        </w:rPr>
        <w:t xml:space="preserve">  Continuing to use </w:t>
      </w:r>
      <w:r w:rsidR="00163BA4" w:rsidRPr="00163BA4">
        <w:rPr>
          <w:rFonts w:eastAsia="Calibri"/>
        </w:rPr>
        <w:t xml:space="preserve">unsupported software constitutes a </w:t>
      </w:r>
      <w:r w:rsidR="00F71C16">
        <w:rPr>
          <w:rFonts w:eastAsia="Calibri"/>
        </w:rPr>
        <w:t xml:space="preserve">serious </w:t>
      </w:r>
      <w:r w:rsidR="001E177B">
        <w:rPr>
          <w:rFonts w:eastAsia="Calibri"/>
        </w:rPr>
        <w:t>security risk</w:t>
      </w:r>
      <w:r w:rsidR="00CA14E6">
        <w:rPr>
          <w:rFonts w:eastAsia="Calibri"/>
        </w:rPr>
        <w:t>.</w:t>
      </w:r>
    </w:p>
    <w:p w14:paraId="5302C528" w14:textId="77777777" w:rsidR="00CA14E6" w:rsidRDefault="00CA14E6" w:rsidP="00163BA4">
      <w:pPr>
        <w:spacing w:after="0"/>
        <w:rPr>
          <w:rFonts w:eastAsia="Calibri"/>
        </w:rPr>
      </w:pPr>
    </w:p>
    <w:p w14:paraId="5302C529" w14:textId="77777777" w:rsidR="00DA1862" w:rsidRPr="00A12843" w:rsidRDefault="00DA1862" w:rsidP="00CB43AF">
      <w:pPr>
        <w:pStyle w:val="Heading1"/>
      </w:pPr>
      <w:r w:rsidRPr="00A12843">
        <w:t>Scope</w:t>
      </w:r>
    </w:p>
    <w:p w14:paraId="5302C52A" w14:textId="77777777" w:rsidR="00DA1862" w:rsidRDefault="00B75A70" w:rsidP="00DA1862">
      <w:pPr>
        <w:spacing w:after="0"/>
        <w:rPr>
          <w:rFonts w:eastAsia="Times New Roman"/>
        </w:rPr>
      </w:pPr>
      <w:r>
        <w:rPr>
          <w:rFonts w:eastAsia="Times New Roman"/>
        </w:rPr>
        <w:t>The policy applies to all software</w:t>
      </w:r>
      <w:r w:rsidR="002F0109">
        <w:rPr>
          <w:rFonts w:eastAsia="Times New Roman"/>
        </w:rPr>
        <w:t xml:space="preserve"> and related systems</w:t>
      </w:r>
      <w:r>
        <w:rPr>
          <w:rFonts w:eastAsia="Times New Roman"/>
        </w:rPr>
        <w:t xml:space="preserve"> owned or maintained by t</w:t>
      </w:r>
      <w:r w:rsidR="001E177B">
        <w:rPr>
          <w:rFonts w:eastAsia="Times New Roman"/>
        </w:rPr>
        <w:t>he</w:t>
      </w:r>
      <w:r w:rsidR="001E177B" w:rsidRPr="001E177B">
        <w:t xml:space="preserve"> </w:t>
      </w:r>
      <w:r w:rsidR="001E177B" w:rsidRPr="001E177B">
        <w:rPr>
          <w:rFonts w:eastAsia="Times New Roman"/>
        </w:rPr>
        <w:t>[AGENCY] (hereafter referred to as “agency”)</w:t>
      </w:r>
      <w:r w:rsidR="00DA1862" w:rsidRPr="00A12843">
        <w:rPr>
          <w:rFonts w:eastAsia="Times New Roman"/>
        </w:rPr>
        <w:t>.</w:t>
      </w:r>
    </w:p>
    <w:p w14:paraId="5302C52B" w14:textId="77777777" w:rsidR="002F0109" w:rsidRPr="00A12843" w:rsidRDefault="002F0109" w:rsidP="00DA1862">
      <w:pPr>
        <w:spacing w:after="0"/>
        <w:rPr>
          <w:rFonts w:eastAsia="Times New Roman"/>
        </w:rPr>
      </w:pPr>
    </w:p>
    <w:p w14:paraId="5302C52C" w14:textId="77777777" w:rsidR="00DA1862" w:rsidRPr="00A12843" w:rsidRDefault="00DA1862" w:rsidP="00CB43AF">
      <w:pPr>
        <w:pStyle w:val="Heading1"/>
      </w:pPr>
      <w:r w:rsidRPr="00A12843">
        <w:t>Purpose</w:t>
      </w:r>
    </w:p>
    <w:p w14:paraId="5302C52D" w14:textId="77777777" w:rsidR="00DA1862" w:rsidRPr="001C5A69" w:rsidRDefault="00603849" w:rsidP="00453D98">
      <w:pPr>
        <w:spacing w:after="0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 w:rsidRPr="00603849">
        <w:rPr>
          <w:rFonts w:eastAsia="Calibri"/>
        </w:rPr>
        <w:t xml:space="preserve">This policy is </w:t>
      </w:r>
      <w:r>
        <w:rPr>
          <w:rFonts w:eastAsia="Calibri"/>
        </w:rPr>
        <w:t>t</w:t>
      </w:r>
      <w:r w:rsidR="001C5A69" w:rsidRPr="001C5A69">
        <w:rPr>
          <w:rFonts w:eastAsia="Calibri"/>
        </w:rPr>
        <w:t xml:space="preserve">o ensure </w:t>
      </w:r>
      <w:r w:rsidR="00AD2408">
        <w:rPr>
          <w:rFonts w:eastAsia="Calibri"/>
        </w:rPr>
        <w:t>the agency</w:t>
      </w:r>
      <w:r w:rsidR="001C5A69" w:rsidRPr="001C5A69">
        <w:rPr>
          <w:rFonts w:eastAsia="Calibri"/>
        </w:rPr>
        <w:t xml:space="preserve"> maintain</w:t>
      </w:r>
      <w:r w:rsidR="00AD2408">
        <w:rPr>
          <w:rFonts w:eastAsia="Calibri"/>
        </w:rPr>
        <w:t>s</w:t>
      </w:r>
      <w:r w:rsidR="001C5A69" w:rsidRPr="001C5A69">
        <w:rPr>
          <w:rFonts w:eastAsia="Calibri"/>
        </w:rPr>
        <w:t xml:space="preserve"> an up</w:t>
      </w:r>
      <w:r>
        <w:rPr>
          <w:rFonts w:eastAsia="Calibri"/>
        </w:rPr>
        <w:t xml:space="preserve">-to-date software portfolio to </w:t>
      </w:r>
      <w:r w:rsidR="001C5A69" w:rsidRPr="001C5A69">
        <w:rPr>
          <w:rFonts w:eastAsia="Calibri"/>
        </w:rPr>
        <w:t>reduce the cost and risk inherent in managing</w:t>
      </w:r>
      <w:r w:rsidR="001C5A69">
        <w:rPr>
          <w:rFonts w:eastAsia="Calibri"/>
        </w:rPr>
        <w:t xml:space="preserve"> </w:t>
      </w:r>
      <w:r w:rsidR="001C5A69" w:rsidRPr="001C5A69">
        <w:rPr>
          <w:rFonts w:eastAsia="Calibri"/>
        </w:rPr>
        <w:t>unsupport</w:t>
      </w:r>
      <w:r>
        <w:rPr>
          <w:rFonts w:eastAsia="Calibri"/>
        </w:rPr>
        <w:t xml:space="preserve">ed software products. The term </w:t>
      </w:r>
      <w:r w:rsidR="001C5A69" w:rsidRPr="001C5A69">
        <w:rPr>
          <w:rFonts w:eastAsia="Calibri"/>
        </w:rPr>
        <w:t>unsupported</w:t>
      </w:r>
      <w:r>
        <w:rPr>
          <w:rFonts w:eastAsia="Calibri"/>
        </w:rPr>
        <w:t xml:space="preserve"> </w:t>
      </w:r>
      <w:r w:rsidRPr="00603849">
        <w:rPr>
          <w:rFonts w:eastAsia="Calibri"/>
        </w:rPr>
        <w:t>refers to software for which there are no longer commercial</w:t>
      </w:r>
      <w:r w:rsidR="00F3187E">
        <w:rPr>
          <w:rFonts w:eastAsia="Calibri"/>
        </w:rPr>
        <w:t xml:space="preserve"> or </w:t>
      </w:r>
      <w:r w:rsidRPr="00603849">
        <w:rPr>
          <w:rFonts w:eastAsia="Calibri"/>
        </w:rPr>
        <w:t>vendor support</w:t>
      </w:r>
      <w:r w:rsidR="00F3187E">
        <w:rPr>
          <w:rFonts w:eastAsia="Calibri"/>
        </w:rPr>
        <w:t xml:space="preserve"> options</w:t>
      </w:r>
      <w:r w:rsidRPr="00603849">
        <w:rPr>
          <w:rFonts w:eastAsia="Calibri"/>
        </w:rPr>
        <w:t xml:space="preserve"> or software that relies on other unsupported applications or components</w:t>
      </w:r>
      <w:r>
        <w:rPr>
          <w:rFonts w:eastAsia="Calibri"/>
        </w:rPr>
        <w:t xml:space="preserve">.  </w:t>
      </w:r>
    </w:p>
    <w:p w14:paraId="5302C52E" w14:textId="77777777" w:rsidR="00DA1862" w:rsidRPr="00A12843" w:rsidRDefault="00DA1862" w:rsidP="00CB43AF">
      <w:pPr>
        <w:pStyle w:val="Heading1"/>
      </w:pPr>
      <w:r w:rsidRPr="00A12843">
        <w:t xml:space="preserve">Policy </w:t>
      </w:r>
      <w:r w:rsidRPr="00A12843">
        <w:tab/>
      </w:r>
    </w:p>
    <w:p w14:paraId="5302C52F" w14:textId="77777777" w:rsidR="00453D98" w:rsidRDefault="00603849" w:rsidP="00453D98">
      <w:pPr>
        <w:spacing w:after="0"/>
        <w:rPr>
          <w:rFonts w:eastAsia="Calibri"/>
        </w:rPr>
      </w:pPr>
      <w:r>
        <w:rPr>
          <w:rFonts w:eastAsia="Calibri"/>
        </w:rPr>
        <w:t>T</w:t>
      </w:r>
      <w:r w:rsidR="00556970" w:rsidRPr="00556970">
        <w:rPr>
          <w:rFonts w:eastAsia="Calibri"/>
        </w:rPr>
        <w:t xml:space="preserve">o ensure that the delivery of reliable, low risk, cost effective government services, </w:t>
      </w:r>
      <w:r w:rsidR="00AD2408">
        <w:rPr>
          <w:rFonts w:eastAsia="Calibri"/>
        </w:rPr>
        <w:t>the agency</w:t>
      </w:r>
      <w:r w:rsidR="00556970" w:rsidRPr="00556970">
        <w:rPr>
          <w:rFonts w:eastAsia="Calibri"/>
        </w:rPr>
        <w:t xml:space="preserve"> will reduce and</w:t>
      </w:r>
      <w:r w:rsidR="004C6FD3">
        <w:rPr>
          <w:rFonts w:eastAsia="Calibri"/>
        </w:rPr>
        <w:t>,</w:t>
      </w:r>
      <w:r w:rsidR="00556970" w:rsidRPr="00556970">
        <w:rPr>
          <w:rFonts w:eastAsia="Calibri"/>
        </w:rPr>
        <w:t xml:space="preserve"> where possible</w:t>
      </w:r>
      <w:r w:rsidR="004C6FD3">
        <w:rPr>
          <w:rFonts w:eastAsia="Calibri"/>
        </w:rPr>
        <w:t>,</w:t>
      </w:r>
      <w:r w:rsidR="00556970" w:rsidRPr="00556970">
        <w:rPr>
          <w:rFonts w:eastAsia="Calibri"/>
        </w:rPr>
        <w:t xml:space="preserve"> eliminate instances of unsupported software.</w:t>
      </w:r>
      <w:r w:rsidR="00453D98">
        <w:rPr>
          <w:rFonts w:eastAsia="Calibri"/>
        </w:rPr>
        <w:t xml:space="preserve">  </w:t>
      </w:r>
      <w:r w:rsidR="00AD2408">
        <w:rPr>
          <w:rFonts w:eastAsia="Calibri"/>
        </w:rPr>
        <w:t xml:space="preserve">The agency </w:t>
      </w:r>
      <w:r w:rsidR="00453D98" w:rsidRPr="001C5A69">
        <w:rPr>
          <w:rFonts w:eastAsia="Calibri"/>
        </w:rPr>
        <w:t>bear</w:t>
      </w:r>
      <w:r w:rsidR="00AD2408">
        <w:rPr>
          <w:rFonts w:eastAsia="Calibri"/>
        </w:rPr>
        <w:t>s</w:t>
      </w:r>
      <w:r w:rsidR="00453D98" w:rsidRPr="001C5A69">
        <w:rPr>
          <w:rFonts w:eastAsia="Calibri"/>
        </w:rPr>
        <w:t xml:space="preserve"> the full burden of risk associated with running unsupported</w:t>
      </w:r>
      <w:r w:rsidR="00453D98">
        <w:rPr>
          <w:rFonts w:eastAsia="Calibri"/>
        </w:rPr>
        <w:t xml:space="preserve"> </w:t>
      </w:r>
      <w:r w:rsidR="00453D98" w:rsidRPr="001C5A69">
        <w:rPr>
          <w:rFonts w:eastAsia="Calibri"/>
        </w:rPr>
        <w:t>software.</w:t>
      </w:r>
    </w:p>
    <w:p w14:paraId="5302C530" w14:textId="77777777" w:rsidR="00453D98" w:rsidRPr="001C5A69" w:rsidRDefault="00453D98" w:rsidP="00453D98">
      <w:pPr>
        <w:spacing w:after="0"/>
        <w:rPr>
          <w:rFonts w:eastAsia="Calibri"/>
        </w:rPr>
      </w:pPr>
    </w:p>
    <w:p w14:paraId="5302C531" w14:textId="77777777" w:rsidR="00453D98" w:rsidRPr="001C5A69" w:rsidRDefault="00453D98" w:rsidP="00453D98">
      <w:pPr>
        <w:spacing w:after="0"/>
        <w:rPr>
          <w:rFonts w:eastAsia="Calibri"/>
        </w:rPr>
      </w:pPr>
      <w:r w:rsidRPr="001C5A69">
        <w:rPr>
          <w:rFonts w:eastAsia="Calibri"/>
        </w:rPr>
        <w:t>These risks include:</w:t>
      </w:r>
    </w:p>
    <w:p w14:paraId="5302C532" w14:textId="77777777" w:rsidR="00453D98" w:rsidRPr="001C5A69" w:rsidRDefault="00453D98" w:rsidP="00453D98">
      <w:pPr>
        <w:pStyle w:val="ListParagraph"/>
        <w:numPr>
          <w:ilvl w:val="0"/>
          <w:numId w:val="8"/>
        </w:numPr>
        <w:spacing w:after="0"/>
        <w:rPr>
          <w:rFonts w:eastAsia="Calibri"/>
        </w:rPr>
      </w:pPr>
      <w:r w:rsidRPr="001C5A69">
        <w:rPr>
          <w:rFonts w:eastAsia="Calibri"/>
        </w:rPr>
        <w:t>increased cost to maintain a software asset</w:t>
      </w:r>
      <w:r w:rsidR="00F3187E">
        <w:rPr>
          <w:rStyle w:val="CommentReference"/>
        </w:rPr>
        <w:t>,</w:t>
      </w:r>
      <w:r w:rsidR="00F3187E">
        <w:rPr>
          <w:rFonts w:eastAsia="Calibri"/>
        </w:rPr>
        <w:t xml:space="preserve"> often referred to as “technical debt”</w:t>
      </w:r>
    </w:p>
    <w:p w14:paraId="5302C533" w14:textId="77777777" w:rsidR="00453D98" w:rsidRPr="001C5A69" w:rsidRDefault="00453D98" w:rsidP="00453D98">
      <w:pPr>
        <w:pStyle w:val="ListParagraph"/>
        <w:numPr>
          <w:ilvl w:val="0"/>
          <w:numId w:val="8"/>
        </w:numPr>
        <w:spacing w:after="0"/>
        <w:rPr>
          <w:rFonts w:eastAsia="Calibri"/>
        </w:rPr>
      </w:pPr>
      <w:r w:rsidRPr="001C5A69">
        <w:rPr>
          <w:rFonts w:eastAsia="Calibri"/>
        </w:rPr>
        <w:t>lack of agility resulting from its inability to align with changes in business requirements</w:t>
      </w:r>
    </w:p>
    <w:p w14:paraId="5302C534" w14:textId="77777777" w:rsidR="00453D98" w:rsidRPr="001C5A69" w:rsidRDefault="00453D98" w:rsidP="00453D98">
      <w:pPr>
        <w:pStyle w:val="ListParagraph"/>
        <w:numPr>
          <w:ilvl w:val="0"/>
          <w:numId w:val="8"/>
        </w:numPr>
        <w:spacing w:after="0"/>
        <w:rPr>
          <w:rFonts w:eastAsia="Calibri"/>
        </w:rPr>
      </w:pPr>
      <w:r w:rsidRPr="001C5A69">
        <w:rPr>
          <w:rFonts w:eastAsia="Calibri"/>
        </w:rPr>
        <w:t>limited capacity to integrate with up-to-date</w:t>
      </w:r>
      <w:r w:rsidR="00CD6913">
        <w:rPr>
          <w:rFonts w:eastAsia="Calibri"/>
        </w:rPr>
        <w:t xml:space="preserve"> and cost competitive</w:t>
      </w:r>
      <w:r w:rsidRPr="001C5A69">
        <w:rPr>
          <w:rFonts w:eastAsia="Calibri"/>
        </w:rPr>
        <w:t xml:space="preserve"> technologies</w:t>
      </w:r>
      <w:r w:rsidR="00F3187E">
        <w:rPr>
          <w:rFonts w:eastAsia="Calibri"/>
        </w:rPr>
        <w:t xml:space="preserve"> (e.g.</w:t>
      </w:r>
      <w:r w:rsidR="00CD6913">
        <w:rPr>
          <w:rFonts w:eastAsia="Calibri"/>
        </w:rPr>
        <w:t xml:space="preserve"> cloud)</w:t>
      </w:r>
    </w:p>
    <w:p w14:paraId="5302C535" w14:textId="77777777" w:rsidR="00453D98" w:rsidRPr="001C5A69" w:rsidRDefault="00453D98" w:rsidP="00453D98">
      <w:pPr>
        <w:pStyle w:val="ListParagraph"/>
        <w:numPr>
          <w:ilvl w:val="0"/>
          <w:numId w:val="8"/>
        </w:numPr>
        <w:spacing w:after="0"/>
        <w:rPr>
          <w:rFonts w:eastAsia="Calibri"/>
        </w:rPr>
      </w:pPr>
      <w:r w:rsidRPr="001C5A69">
        <w:rPr>
          <w:rFonts w:eastAsia="Calibri"/>
        </w:rPr>
        <w:t>scarcity of skilled labor to maintain unsupported technologies</w:t>
      </w:r>
    </w:p>
    <w:p w14:paraId="5302C536" w14:textId="77777777" w:rsidR="00453D98" w:rsidRPr="001C5A69" w:rsidRDefault="00F3187E" w:rsidP="00453D98">
      <w:pPr>
        <w:pStyle w:val="ListParagraph"/>
        <w:numPr>
          <w:ilvl w:val="0"/>
          <w:numId w:val="8"/>
        </w:numPr>
        <w:spacing w:after="0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>
        <w:rPr>
          <w:rFonts w:eastAsia="Calibri"/>
        </w:rPr>
        <w:t>increased mistakes</w:t>
      </w:r>
      <w:r w:rsidR="00453D98" w:rsidRPr="001C5A69">
        <w:rPr>
          <w:rFonts w:eastAsia="Calibri"/>
        </w:rPr>
        <w:t xml:space="preserve"> and resulting costs from supporting the complexity of many versions</w:t>
      </w:r>
      <w:r w:rsidR="00CD6913">
        <w:rPr>
          <w:rFonts w:eastAsia="Calibri"/>
        </w:rPr>
        <w:t xml:space="preserve"> across </w:t>
      </w:r>
      <w:r w:rsidR="00011A6C">
        <w:rPr>
          <w:rFonts w:eastAsia="Calibri"/>
        </w:rPr>
        <w:t>components</w:t>
      </w:r>
    </w:p>
    <w:p w14:paraId="5302C537" w14:textId="77777777" w:rsidR="00453D98" w:rsidRDefault="00453D98" w:rsidP="00556970">
      <w:pPr>
        <w:spacing w:after="0"/>
        <w:rPr>
          <w:rFonts w:eastAsia="Calibri"/>
        </w:rPr>
      </w:pPr>
    </w:p>
    <w:p w14:paraId="5302C538" w14:textId="77777777" w:rsidR="00E06FB7" w:rsidRPr="00CB43AF" w:rsidRDefault="00E06FB7" w:rsidP="00CB43AF">
      <w:pPr>
        <w:pStyle w:val="Heading2"/>
        <w:rPr>
          <w:rFonts w:eastAsia="Calibri"/>
        </w:rPr>
      </w:pPr>
      <w:r w:rsidRPr="00CB43AF">
        <w:t xml:space="preserve">Risk Assessment </w:t>
      </w:r>
    </w:p>
    <w:p w14:paraId="5302C539" w14:textId="77777777" w:rsidR="003971A3" w:rsidRDefault="00F8114C" w:rsidP="004C2D10">
      <w:r>
        <w:t>I</w:t>
      </w:r>
      <w:r w:rsidRPr="00F8114C">
        <w:t xml:space="preserve">n compliance with </w:t>
      </w:r>
      <w:r w:rsidR="00F3187E">
        <w:t>1 TAC</w:t>
      </w:r>
      <w:r w:rsidRPr="00F8114C">
        <w:t xml:space="preserve"> 202</w:t>
      </w:r>
      <w:r>
        <w:t>, t</w:t>
      </w:r>
      <w:r w:rsidR="003971A3">
        <w:t>he agency</w:t>
      </w:r>
      <w:r w:rsidR="00E06FB7" w:rsidRPr="009F2615">
        <w:t xml:space="preserve"> will conduct a high-level risk assessment</w:t>
      </w:r>
      <w:r>
        <w:t xml:space="preserve"> </w:t>
      </w:r>
      <w:r w:rsidR="00BB43A0">
        <w:t xml:space="preserve">of </w:t>
      </w:r>
      <w:r w:rsidR="00453D98">
        <w:t>their software currency and either request necessary upgrade</w:t>
      </w:r>
      <w:r>
        <w:t>s</w:t>
      </w:r>
      <w:r w:rsidR="00453D98">
        <w:t xml:space="preserve"> or </w:t>
      </w:r>
      <w:r w:rsidR="00E06FB7" w:rsidRPr="009F2615">
        <w:t xml:space="preserve">replacement costs in their budget request, or determine the risk is tolerable based on system data, infrastructure, </w:t>
      </w:r>
      <w:r w:rsidR="0096600D" w:rsidRPr="009F2615">
        <w:t>and vulnerability</w:t>
      </w:r>
      <w:r w:rsidR="0096600D">
        <w:t xml:space="preserve"> and business requirements</w:t>
      </w:r>
      <w:r w:rsidR="00453D98">
        <w:t>.</w:t>
      </w:r>
      <w:r w:rsidR="00DD4A3C">
        <w:t xml:space="preserve"> </w:t>
      </w:r>
      <w:r>
        <w:t xml:space="preserve">The assessment has a minimum </w:t>
      </w:r>
      <w:r w:rsidR="00F3187E">
        <w:t>three-</w:t>
      </w:r>
      <w:r>
        <w:t>year horizon and is updated at least once each fiscal year.  Updates will be completed in time to include upgrade or replacement costs in the agency’s budget request.</w:t>
      </w:r>
    </w:p>
    <w:p w14:paraId="5302C53A" w14:textId="77777777" w:rsidR="00E06FB7" w:rsidRPr="009F2615" w:rsidRDefault="00C564B3" w:rsidP="004C2D10">
      <w:r>
        <w:t xml:space="preserve">If the agency chooses not to upgrade </w:t>
      </w:r>
      <w:r w:rsidR="00DD4A3C" w:rsidRPr="00DD4A3C">
        <w:t xml:space="preserve">software </w:t>
      </w:r>
      <w:r>
        <w:t xml:space="preserve">prior to </w:t>
      </w:r>
      <w:r w:rsidR="00DD4A3C" w:rsidRPr="00F3187E">
        <w:t>end of support</w:t>
      </w:r>
      <w:r w:rsidR="00DD4A3C" w:rsidRPr="00DD4A3C">
        <w:t xml:space="preserve"> the Executive Director must formally accept the risk of not doing so.</w:t>
      </w:r>
      <w:r w:rsidR="00CC7335">
        <w:t xml:space="preserve"> End of support is </w:t>
      </w:r>
      <w:r w:rsidR="00CC7335" w:rsidRPr="00CC7335">
        <w:t xml:space="preserve">the date when the vendor no longer provides automatic fixes, updates, or other technical assistance. Without vendor support, the software will no longer </w:t>
      </w:r>
      <w:r w:rsidR="0096600D">
        <w:t xml:space="preserve">automatically </w:t>
      </w:r>
      <w:r w:rsidR="00CC7335" w:rsidRPr="00CC7335">
        <w:t>receive security updates</w:t>
      </w:r>
      <w:r w:rsidR="0096600D">
        <w:t xml:space="preserve"> without additional costs</w:t>
      </w:r>
      <w:r w:rsidR="00CC7335" w:rsidRPr="00CC7335">
        <w:t>.</w:t>
      </w:r>
    </w:p>
    <w:p w14:paraId="5302C53B" w14:textId="77777777" w:rsidR="004C2D10" w:rsidRDefault="00237869" w:rsidP="00CB43AF">
      <w:pPr>
        <w:pStyle w:val="Heading2"/>
      </w:pPr>
      <w:r>
        <w:t>Replacement Schedule</w:t>
      </w:r>
    </w:p>
    <w:p w14:paraId="5302C53C" w14:textId="77777777" w:rsidR="00CC7335" w:rsidRPr="004C2D10" w:rsidRDefault="00AC5A19" w:rsidP="004C2D10">
      <w:pPr>
        <w:rPr>
          <w:rFonts w:ascii="Cambria" w:eastAsia="Times New Roman" w:hAnsi="Cambria"/>
          <w:b/>
          <w:bCs/>
        </w:rPr>
      </w:pPr>
      <w:r>
        <w:t>The agency</w:t>
      </w:r>
      <w:r w:rsidR="00237869">
        <w:t xml:space="preserve"> will </w:t>
      </w:r>
      <w:r w:rsidR="00A63774" w:rsidRPr="00A63774">
        <w:t>plan to migrate off s</w:t>
      </w:r>
      <w:r w:rsidR="00237869">
        <w:t xml:space="preserve">oftware </w:t>
      </w:r>
      <w:r w:rsidR="003F033F">
        <w:t xml:space="preserve">that </w:t>
      </w:r>
      <w:r w:rsidR="00F71C16">
        <w:t>is designated</w:t>
      </w:r>
      <w:r w:rsidR="00AC0016">
        <w:t xml:space="preserve"> by the vendor as</w:t>
      </w:r>
      <w:r w:rsidR="00A63774" w:rsidRPr="00A63774">
        <w:t xml:space="preserve"> </w:t>
      </w:r>
      <w:r w:rsidR="0057702E">
        <w:t xml:space="preserve">upcoming </w:t>
      </w:r>
      <w:r w:rsidR="003A7305" w:rsidRPr="00F3187E">
        <w:t>end</w:t>
      </w:r>
      <w:r w:rsidR="00A63774" w:rsidRPr="00F3187E">
        <w:t xml:space="preserve"> of </w:t>
      </w:r>
      <w:r w:rsidR="003A7305" w:rsidRPr="00F3187E">
        <w:t>s</w:t>
      </w:r>
      <w:r w:rsidR="00A63774" w:rsidRPr="00F3187E">
        <w:t>upport</w:t>
      </w:r>
      <w:r w:rsidR="003F033F" w:rsidRPr="003F033F">
        <w:t xml:space="preserve"> </w:t>
      </w:r>
      <w:r w:rsidR="00D9013D">
        <w:t xml:space="preserve">at least </w:t>
      </w:r>
      <w:r w:rsidR="003F033F" w:rsidRPr="00A63774">
        <w:t>12 months</w:t>
      </w:r>
      <w:r w:rsidR="00F61DB6">
        <w:t xml:space="preserve"> prior to </w:t>
      </w:r>
      <w:r w:rsidR="00D9013D">
        <w:t>that</w:t>
      </w:r>
      <w:r w:rsidR="00F61DB6">
        <w:t xml:space="preserve"> date</w:t>
      </w:r>
      <w:r w:rsidR="00A63774" w:rsidRPr="00A63774">
        <w:t>.</w:t>
      </w:r>
      <w:r w:rsidR="00237869">
        <w:t xml:space="preserve"> </w:t>
      </w:r>
      <w:r>
        <w:t>The agency</w:t>
      </w:r>
      <w:r w:rsidR="00237869" w:rsidRPr="00237869">
        <w:t xml:space="preserve"> must retire or replace any </w:t>
      </w:r>
      <w:r w:rsidR="00356DAF">
        <w:t xml:space="preserve">commercial </w:t>
      </w:r>
      <w:r w:rsidR="00237869" w:rsidRPr="00237869">
        <w:t>off-</w:t>
      </w:r>
      <w:r w:rsidR="00BB70C5">
        <w:t xml:space="preserve"> </w:t>
      </w:r>
      <w:r w:rsidR="00237869" w:rsidRPr="00237869">
        <w:t xml:space="preserve">the-shelf </w:t>
      </w:r>
      <w:r w:rsidR="00356DAF">
        <w:t xml:space="preserve">(COTS) </w:t>
      </w:r>
      <w:r w:rsidR="00237869" w:rsidRPr="00237869">
        <w:t>software with a high or medium business impact before it reaches the end of</w:t>
      </w:r>
      <w:r w:rsidR="00F50B7B">
        <w:t xml:space="preserve"> </w:t>
      </w:r>
      <w:r w:rsidR="00237869" w:rsidRPr="00237869">
        <w:t>support.</w:t>
      </w:r>
    </w:p>
    <w:p w14:paraId="5302C53D" w14:textId="77777777" w:rsidR="0066578F" w:rsidRDefault="00356DAF" w:rsidP="004C2D10">
      <w:r>
        <w:t xml:space="preserve">Vendors commonly </w:t>
      </w:r>
      <w:r w:rsidR="00A85321">
        <w:t xml:space="preserve">announce </w:t>
      </w:r>
      <w:r w:rsidR="00CC7335" w:rsidRPr="00CC7335">
        <w:t>software products</w:t>
      </w:r>
      <w:r w:rsidR="00A85321">
        <w:t xml:space="preserve"> </w:t>
      </w:r>
      <w:r>
        <w:t xml:space="preserve">end of support dates </w:t>
      </w:r>
      <w:r w:rsidR="00A85321">
        <w:t>years in advance</w:t>
      </w:r>
      <w:r w:rsidR="00CC7335" w:rsidRPr="00CC7335">
        <w:t xml:space="preserve">. Unlike the </w:t>
      </w:r>
      <w:r>
        <w:t xml:space="preserve">standard included </w:t>
      </w:r>
      <w:r w:rsidR="00CC7335" w:rsidRPr="00CC7335">
        <w:t xml:space="preserve">mainstream support that is provided when a product is released and current, typically only security and reliability patches are available during </w:t>
      </w:r>
      <w:r>
        <w:t xml:space="preserve">the extended and </w:t>
      </w:r>
      <w:r w:rsidR="00CC7335" w:rsidRPr="00CC7335">
        <w:t>end of support period</w:t>
      </w:r>
      <w:r>
        <w:t>s</w:t>
      </w:r>
      <w:r w:rsidR="00CC7335" w:rsidRPr="00CC7335">
        <w:t xml:space="preserve">.  No feature enhancements, architectural changes or warranties such as application backward compatibility, or new device drivers are offered once a product has gone out of mainstream standard support.  </w:t>
      </w:r>
    </w:p>
    <w:p w14:paraId="5302C53E" w14:textId="77777777" w:rsidR="0066578F" w:rsidRPr="0066578F" w:rsidRDefault="0066578F" w:rsidP="004C2D10">
      <w:r>
        <w:t xml:space="preserve">Replacement </w:t>
      </w:r>
      <w:r w:rsidR="00FC7BB5">
        <w:t>will</w:t>
      </w:r>
      <w:r>
        <w:t xml:space="preserve"> be completed before software is o</w:t>
      </w:r>
      <w:r w:rsidRPr="0066578F">
        <w:t xml:space="preserve">ut of </w:t>
      </w:r>
      <w:r>
        <w:t>s</w:t>
      </w:r>
      <w:r w:rsidRPr="0066578F">
        <w:t>upport</w:t>
      </w:r>
      <w:r>
        <w:t xml:space="preserve">.  </w:t>
      </w:r>
      <w:r w:rsidRPr="0066578F">
        <w:t xml:space="preserve">Out of </w:t>
      </w:r>
      <w:r w:rsidR="00A02596">
        <w:t>S</w:t>
      </w:r>
      <w:r w:rsidRPr="0066578F">
        <w:t xml:space="preserve">upport systems pose a significant liability and threat to the </w:t>
      </w:r>
      <w:r w:rsidR="00A02596">
        <w:t>s</w:t>
      </w:r>
      <w:r w:rsidRPr="0066578F">
        <w:t xml:space="preserve">tate. Out of </w:t>
      </w:r>
      <w:r w:rsidR="00A02596">
        <w:t>S</w:t>
      </w:r>
      <w:r w:rsidRPr="0066578F">
        <w:t xml:space="preserve">upport </w:t>
      </w:r>
      <w:r w:rsidR="00A02596">
        <w:t>s</w:t>
      </w:r>
      <w:r w:rsidRPr="0066578F">
        <w:t>oftware:</w:t>
      </w:r>
    </w:p>
    <w:p w14:paraId="5302C53F" w14:textId="77777777" w:rsidR="0066578F" w:rsidRPr="0066578F" w:rsidRDefault="00A02596" w:rsidP="00A85321">
      <w:pPr>
        <w:pStyle w:val="ListParagraph"/>
        <w:numPr>
          <w:ilvl w:val="0"/>
          <w:numId w:val="14"/>
        </w:numPr>
      </w:pPr>
      <w:r>
        <w:t>n</w:t>
      </w:r>
      <w:r w:rsidR="0066578F" w:rsidRPr="0066578F">
        <w:t xml:space="preserve">o longer receives original manufacturer security updates that help protect State systems from all harmful viruses, spyware, and/or other malicious software that can harm or steal State data </w:t>
      </w:r>
    </w:p>
    <w:p w14:paraId="5302C540" w14:textId="77777777" w:rsidR="00A85321" w:rsidRDefault="00A02596" w:rsidP="00A85321">
      <w:pPr>
        <w:pStyle w:val="ListParagraph"/>
        <w:numPr>
          <w:ilvl w:val="0"/>
          <w:numId w:val="14"/>
        </w:numPr>
      </w:pPr>
      <w:r>
        <w:t>p</w:t>
      </w:r>
      <w:r w:rsidR="0066578F" w:rsidRPr="0066578F">
        <w:t>resents threats to interc</w:t>
      </w:r>
      <w:r w:rsidR="00A85321">
        <w:t>onnected State systems and data</w:t>
      </w:r>
    </w:p>
    <w:p w14:paraId="5302C541" w14:textId="77777777" w:rsidR="0066578F" w:rsidRPr="00A85321" w:rsidRDefault="00A02596" w:rsidP="00A85321">
      <w:pPr>
        <w:pStyle w:val="ListParagraph"/>
        <w:numPr>
          <w:ilvl w:val="0"/>
          <w:numId w:val="14"/>
        </w:numPr>
      </w:pPr>
      <w:r w:rsidRPr="00A85321">
        <w:rPr>
          <w:rFonts w:ascii="Calibri" w:eastAsia="Calibri" w:hAnsi="Calibri" w:cs="Times New Roman"/>
        </w:rPr>
        <w:t>m</w:t>
      </w:r>
      <w:r w:rsidR="0066578F" w:rsidRPr="00A85321">
        <w:rPr>
          <w:rFonts w:ascii="Calibri" w:eastAsia="Calibri" w:hAnsi="Calibri" w:cs="Times New Roman"/>
        </w:rPr>
        <w:t xml:space="preserve">ay not be compatible with current standard </w:t>
      </w:r>
      <w:r w:rsidR="00E13E7E" w:rsidRPr="00A85321">
        <w:rPr>
          <w:rFonts w:ascii="Calibri" w:eastAsia="Calibri" w:hAnsi="Calibri" w:cs="Times New Roman"/>
        </w:rPr>
        <w:t>infrastructure</w:t>
      </w:r>
    </w:p>
    <w:p w14:paraId="5302C542" w14:textId="77777777" w:rsidR="00DA1862" w:rsidRPr="00A12843" w:rsidRDefault="0014224A" w:rsidP="00CB43AF">
      <w:pPr>
        <w:pStyle w:val="Heading2"/>
      </w:pPr>
      <w:r>
        <w:t>Versioning</w:t>
      </w:r>
    </w:p>
    <w:p w14:paraId="5302C543" w14:textId="77777777" w:rsidR="002E6E74" w:rsidRDefault="0014224A" w:rsidP="00604860">
      <w:r w:rsidRPr="0014224A">
        <w:t xml:space="preserve">In software </w:t>
      </w:r>
      <w:r w:rsidR="00E4231B">
        <w:t xml:space="preserve">currency </w:t>
      </w:r>
      <w:r w:rsidRPr="0014224A">
        <w:t xml:space="preserve">versioning, the current release version is known as N and </w:t>
      </w:r>
      <w:r w:rsidR="00E4231B">
        <w:t xml:space="preserve">the </w:t>
      </w:r>
      <w:r w:rsidRPr="0014224A">
        <w:t xml:space="preserve">prior major version of the software as N-1. Older versions of software are labelled as N-2, N-3, etc. </w:t>
      </w:r>
      <w:r w:rsidR="001F40C8">
        <w:t>For the purposes of the software currency policy, N means the version of s</w:t>
      </w:r>
      <w:r w:rsidRPr="0014224A">
        <w:t xml:space="preserve">oftware designated and approved by </w:t>
      </w:r>
      <w:r w:rsidR="001F40C8">
        <w:t>the agency</w:t>
      </w:r>
      <w:r w:rsidRPr="0014224A">
        <w:t xml:space="preserve">, as the current standard for deployment. N-1 is one release prior to the above-described designated or approved </w:t>
      </w:r>
      <w:r w:rsidR="001F40C8">
        <w:t>s</w:t>
      </w:r>
      <w:r w:rsidRPr="0014224A">
        <w:t xml:space="preserve">oftware version. N-2 is two </w:t>
      </w:r>
      <w:r w:rsidR="00E4231B">
        <w:t xml:space="preserve">or more </w:t>
      </w:r>
      <w:r w:rsidRPr="0014224A">
        <w:t>release</w:t>
      </w:r>
      <w:r w:rsidR="001F40C8">
        <w:t>s prior to the above-described s</w:t>
      </w:r>
      <w:r w:rsidRPr="0014224A">
        <w:t>oftware version.</w:t>
      </w:r>
      <w:r w:rsidR="00E4231B">
        <w:t xml:space="preserve"> </w:t>
      </w:r>
      <w:r w:rsidR="00517964" w:rsidRPr="00CB43AF">
        <w:t>Conversely, N+1 is any version level released by a manufacturer (in production or beta state) after the above-described N version.</w:t>
      </w:r>
    </w:p>
    <w:p w14:paraId="5302C544" w14:textId="77777777" w:rsidR="00582CDC" w:rsidRDefault="00582CDC" w:rsidP="00582CD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N-1 should have at least 12 months remaining before </w:t>
      </w:r>
      <w:r w:rsidR="00860E3A">
        <w:rPr>
          <w:rFonts w:ascii="Calibri" w:eastAsia="Calibri" w:hAnsi="Calibri" w:cs="Times New Roman"/>
        </w:rPr>
        <w:t xml:space="preserve">being desiginated </w:t>
      </w:r>
      <w:r>
        <w:rPr>
          <w:rFonts w:ascii="Calibri" w:eastAsia="Calibri" w:hAnsi="Calibri" w:cs="Times New Roman"/>
        </w:rPr>
        <w:t xml:space="preserve"> end of support or unsupported. Software that becomes version N-2 or greater is eligible for refresh and should be updated, replaced or discontinued with 12 months.  If a refresh is not possible for technical or business reasons, an exception must be formally requested with statements that address the impacts on cost and security.  Early adoption of  N+1 release requires an exception to ensure it can be managed by the agency.</w:t>
      </w:r>
    </w:p>
    <w:p w14:paraId="5302C545" w14:textId="77777777" w:rsidR="00AC0016" w:rsidRDefault="00E4231B" w:rsidP="00604860">
      <w:r>
        <w:t xml:space="preserve">Note: Typically </w:t>
      </w:r>
      <w:r w:rsidR="002E6E74">
        <w:t xml:space="preserve">there is a gap between the latest current </w:t>
      </w:r>
      <w:r w:rsidR="00BB2080">
        <w:t xml:space="preserve">vendor </w:t>
      </w:r>
      <w:r w:rsidR="002E6E74">
        <w:t xml:space="preserve">software release and its designation by the agency as version N.  This time allows for additional software testing, stability and preparedness by the agency for the upgrade. </w:t>
      </w:r>
    </w:p>
    <w:p w14:paraId="5302C546" w14:textId="77777777" w:rsidR="00DA1862" w:rsidRPr="00A12843" w:rsidRDefault="00834B7F" w:rsidP="00CB43AF">
      <w:pPr>
        <w:pStyle w:val="Heading1"/>
      </w:pPr>
      <w:r>
        <w:t>Definitions</w:t>
      </w:r>
    </w:p>
    <w:p w14:paraId="5302C547" w14:textId="77777777" w:rsidR="00745568" w:rsidRPr="00592117" w:rsidRDefault="00592117" w:rsidP="00745568">
      <w:pPr>
        <w:spacing w:after="0"/>
        <w:rPr>
          <w:rFonts w:ascii="Calibri" w:eastAsia="Calibri" w:hAnsi="Calibri" w:cs="Times New Roman"/>
        </w:rPr>
      </w:pPr>
      <w:r w:rsidRPr="00592117">
        <w:rPr>
          <w:rFonts w:ascii="Calibri" w:eastAsia="Calibri" w:hAnsi="Calibri" w:cs="Times New Roman"/>
          <w:b/>
          <w:bCs/>
        </w:rPr>
        <w:t xml:space="preserve">Software Currency </w:t>
      </w:r>
      <w:r w:rsidR="00F71C16" w:rsidRPr="00A12843">
        <w:rPr>
          <w:rFonts w:ascii="Calibri" w:eastAsia="Calibri" w:hAnsi="Calibri" w:cs="Times New Roman"/>
        </w:rPr>
        <w:t>–</w:t>
      </w:r>
      <w:r w:rsidR="00F71C16">
        <w:rPr>
          <w:rFonts w:ascii="Calibri" w:eastAsia="Calibri" w:hAnsi="Calibri" w:cs="Times New Roman"/>
        </w:rPr>
        <w:t xml:space="preserve"> </w:t>
      </w:r>
      <w:r w:rsidR="00F71C16" w:rsidRPr="004A4107">
        <w:rPr>
          <w:rFonts w:ascii="Calibri" w:eastAsia="Calibri" w:hAnsi="Calibri" w:cs="Times New Roman"/>
        </w:rPr>
        <w:t>the</w:t>
      </w:r>
      <w:r w:rsidR="004A4107" w:rsidRPr="004A4107">
        <w:rPr>
          <w:rFonts w:ascii="Calibri" w:eastAsia="Calibri" w:hAnsi="Calibri" w:cs="Times New Roman"/>
        </w:rPr>
        <w:t xml:space="preserve"> practice of maintaining the latest software for the deployed solution</w:t>
      </w:r>
      <w:r w:rsidR="004A4107">
        <w:rPr>
          <w:rFonts w:ascii="Calibri" w:eastAsia="Calibri" w:hAnsi="Calibri" w:cs="Times New Roman"/>
        </w:rPr>
        <w:t>.</w:t>
      </w:r>
    </w:p>
    <w:p w14:paraId="5302C548" w14:textId="77777777" w:rsidR="00592117" w:rsidRPr="00592117" w:rsidRDefault="00592117" w:rsidP="00745568">
      <w:pPr>
        <w:spacing w:after="0"/>
        <w:rPr>
          <w:rFonts w:ascii="Calibri" w:eastAsia="Calibri" w:hAnsi="Calibri" w:cs="Times New Roman"/>
        </w:rPr>
      </w:pPr>
    </w:p>
    <w:p w14:paraId="5302C549" w14:textId="77777777" w:rsidR="00DE6BA1" w:rsidRDefault="00592117" w:rsidP="00745568">
      <w:pPr>
        <w:spacing w:after="0"/>
        <w:rPr>
          <w:rFonts w:ascii="Calibri" w:eastAsia="Calibri" w:hAnsi="Calibri" w:cs="Times New Roman"/>
          <w:bCs/>
        </w:rPr>
      </w:pPr>
      <w:r w:rsidRPr="00DF75F5">
        <w:rPr>
          <w:rFonts w:ascii="Calibri" w:eastAsia="Calibri" w:hAnsi="Calibri" w:cs="Times New Roman"/>
          <w:b/>
          <w:bCs/>
        </w:rPr>
        <w:t>End of Support</w:t>
      </w:r>
      <w:r w:rsidR="005D2538">
        <w:rPr>
          <w:rFonts w:ascii="Calibri" w:eastAsia="Calibri" w:hAnsi="Calibri" w:cs="Times New Roman"/>
          <w:b/>
          <w:bCs/>
        </w:rPr>
        <w:t xml:space="preserve"> </w:t>
      </w:r>
      <w:r w:rsidR="00F71C16">
        <w:rPr>
          <w:rFonts w:ascii="Calibri" w:eastAsia="Calibri" w:hAnsi="Calibri" w:cs="Times New Roman"/>
          <w:b/>
          <w:bCs/>
        </w:rPr>
        <w:t xml:space="preserve">– </w:t>
      </w:r>
      <w:r w:rsidR="00F71C16" w:rsidRPr="007608B4">
        <w:rPr>
          <w:rFonts w:ascii="Calibri" w:eastAsia="Calibri" w:hAnsi="Calibri" w:cs="Times New Roman"/>
          <w:bCs/>
        </w:rPr>
        <w:t>the</w:t>
      </w:r>
      <w:r w:rsidR="007608B4" w:rsidRPr="007608B4">
        <w:rPr>
          <w:rFonts w:ascii="Calibri" w:eastAsia="Calibri" w:hAnsi="Calibri" w:cs="Times New Roman"/>
          <w:bCs/>
        </w:rPr>
        <w:t xml:space="preserve"> vendor no longer provides automatic fixes, updates, or </w:t>
      </w:r>
      <w:r w:rsidR="005D2538">
        <w:rPr>
          <w:rFonts w:ascii="Calibri" w:eastAsia="Calibri" w:hAnsi="Calibri" w:cs="Times New Roman"/>
          <w:bCs/>
        </w:rPr>
        <w:t>other</w:t>
      </w:r>
      <w:r w:rsidR="007608B4" w:rsidRPr="007608B4">
        <w:rPr>
          <w:rFonts w:ascii="Calibri" w:eastAsia="Calibri" w:hAnsi="Calibri" w:cs="Times New Roman"/>
          <w:bCs/>
        </w:rPr>
        <w:t xml:space="preserve"> technical assistance. Without </w:t>
      </w:r>
      <w:r w:rsidR="00AD2D17">
        <w:rPr>
          <w:rFonts w:ascii="Calibri" w:eastAsia="Calibri" w:hAnsi="Calibri" w:cs="Times New Roman"/>
          <w:bCs/>
        </w:rPr>
        <w:t xml:space="preserve">vendor support, the software </w:t>
      </w:r>
      <w:r w:rsidR="007608B4" w:rsidRPr="007608B4">
        <w:rPr>
          <w:rFonts w:ascii="Calibri" w:eastAsia="Calibri" w:hAnsi="Calibri" w:cs="Times New Roman"/>
          <w:bCs/>
        </w:rPr>
        <w:t xml:space="preserve">will no </w:t>
      </w:r>
      <w:r w:rsidR="00DE6BA1">
        <w:rPr>
          <w:rFonts w:ascii="Calibri" w:eastAsia="Calibri" w:hAnsi="Calibri" w:cs="Times New Roman"/>
          <w:bCs/>
        </w:rPr>
        <w:t>longer receive security updates.</w:t>
      </w:r>
    </w:p>
    <w:p w14:paraId="5302C54A" w14:textId="77777777" w:rsidR="00DE6BA1" w:rsidRDefault="00DE6BA1" w:rsidP="00745568">
      <w:pPr>
        <w:spacing w:after="0"/>
        <w:rPr>
          <w:rFonts w:ascii="Calibri" w:eastAsia="Calibri" w:hAnsi="Calibri" w:cs="Times New Roman"/>
          <w:bCs/>
        </w:rPr>
      </w:pPr>
    </w:p>
    <w:p w14:paraId="5302C54B" w14:textId="77777777" w:rsidR="00592117" w:rsidRDefault="00592117" w:rsidP="00745568">
      <w:pPr>
        <w:spacing w:after="0"/>
        <w:rPr>
          <w:rFonts w:ascii="Calibri" w:eastAsia="Calibri" w:hAnsi="Calibri" w:cs="Times New Roman"/>
        </w:rPr>
      </w:pPr>
      <w:r w:rsidRPr="00E64E85">
        <w:rPr>
          <w:rFonts w:ascii="Calibri" w:eastAsia="Calibri" w:hAnsi="Calibri" w:cs="Times New Roman"/>
          <w:b/>
        </w:rPr>
        <w:t>Extended Support</w:t>
      </w:r>
      <w:r w:rsidR="00DE6BA1">
        <w:rPr>
          <w:rFonts w:ascii="Calibri" w:eastAsia="Calibri" w:hAnsi="Calibri" w:cs="Times New Roman"/>
        </w:rPr>
        <w:t xml:space="preserve"> – the period of time after end of support when the vendor </w:t>
      </w:r>
      <w:r w:rsidRPr="00592117">
        <w:rPr>
          <w:rFonts w:ascii="Calibri" w:eastAsia="Calibri" w:hAnsi="Calibri" w:cs="Times New Roman"/>
        </w:rPr>
        <w:t xml:space="preserve">may or may not </w:t>
      </w:r>
      <w:r w:rsidR="00DE6BA1">
        <w:rPr>
          <w:rFonts w:ascii="Calibri" w:eastAsia="Calibri" w:hAnsi="Calibri" w:cs="Times New Roman"/>
        </w:rPr>
        <w:t xml:space="preserve">offer addition </w:t>
      </w:r>
      <w:r w:rsidR="00DE6BA1" w:rsidRPr="00DE6BA1">
        <w:rPr>
          <w:rFonts w:ascii="Calibri" w:eastAsia="Calibri" w:hAnsi="Calibri" w:cs="Times New Roman"/>
        </w:rPr>
        <w:t xml:space="preserve">software maintenance </w:t>
      </w:r>
      <w:r w:rsidR="00DE6BA1">
        <w:rPr>
          <w:rFonts w:ascii="Calibri" w:eastAsia="Calibri" w:hAnsi="Calibri" w:cs="Times New Roman"/>
        </w:rPr>
        <w:t>support at a cost for a period of time typically between one and five years</w:t>
      </w:r>
      <w:r w:rsidRPr="00592117">
        <w:rPr>
          <w:rFonts w:ascii="Calibri" w:eastAsia="Calibri" w:hAnsi="Calibri" w:cs="Times New Roman"/>
        </w:rPr>
        <w:t xml:space="preserve">. </w:t>
      </w:r>
    </w:p>
    <w:p w14:paraId="5302C54C" w14:textId="77777777" w:rsidR="00E64E85" w:rsidRDefault="00E64E85" w:rsidP="00745568">
      <w:pPr>
        <w:spacing w:after="0"/>
        <w:rPr>
          <w:rFonts w:ascii="Calibri" w:eastAsia="Calibri" w:hAnsi="Calibri" w:cs="Times New Roman"/>
        </w:rPr>
      </w:pPr>
    </w:p>
    <w:p w14:paraId="5302C54D" w14:textId="77777777" w:rsidR="00582CDC" w:rsidRDefault="00582CDC" w:rsidP="00745568">
      <w:pPr>
        <w:spacing w:after="0"/>
        <w:rPr>
          <w:rFonts w:ascii="Calibri" w:eastAsia="Calibri" w:hAnsi="Calibri" w:cs="Times New Roman"/>
        </w:rPr>
      </w:pPr>
      <w:r w:rsidRPr="00454FC4">
        <w:rPr>
          <w:rFonts w:ascii="Calibri" w:eastAsia="Calibri" w:hAnsi="Calibri" w:cs="Times New Roman"/>
          <w:b/>
        </w:rPr>
        <w:t>Mainstream Standard Support</w:t>
      </w:r>
      <w:r>
        <w:rPr>
          <w:rFonts w:ascii="Calibri" w:eastAsia="Calibri" w:hAnsi="Calibri" w:cs="Times New Roman"/>
        </w:rPr>
        <w:t xml:space="preserve"> - </w:t>
      </w:r>
      <w:r w:rsidR="00860E3A">
        <w:t>the period of time during which a vendor product is available for general release and receives warranty support, security and non-security updates.</w:t>
      </w:r>
    </w:p>
    <w:p w14:paraId="5302C54E" w14:textId="77777777" w:rsidR="00582CDC" w:rsidRPr="00592117" w:rsidRDefault="00582CDC" w:rsidP="00745568">
      <w:pPr>
        <w:spacing w:after="0"/>
        <w:rPr>
          <w:rFonts w:ascii="Calibri" w:eastAsia="Calibri" w:hAnsi="Calibri" w:cs="Times New Roman"/>
        </w:rPr>
      </w:pPr>
    </w:p>
    <w:p w14:paraId="5302C54F" w14:textId="77777777" w:rsidR="00E64E85" w:rsidRDefault="00592117" w:rsidP="00E64E85">
      <w:pPr>
        <w:spacing w:after="0"/>
        <w:rPr>
          <w:rFonts w:ascii="Calibri" w:eastAsia="Calibri" w:hAnsi="Calibri" w:cs="Times New Roman"/>
        </w:rPr>
      </w:pPr>
      <w:r w:rsidRPr="00DF75F5">
        <w:rPr>
          <w:rFonts w:ascii="Calibri" w:eastAsia="Calibri" w:hAnsi="Calibri" w:cs="Times New Roman"/>
          <w:b/>
        </w:rPr>
        <w:t>Out of Support Software</w:t>
      </w:r>
      <w:r w:rsidR="00F55505">
        <w:rPr>
          <w:rFonts w:ascii="Calibri" w:eastAsia="Calibri" w:hAnsi="Calibri" w:cs="Times New Roman"/>
          <w:b/>
        </w:rPr>
        <w:t xml:space="preserve"> – </w:t>
      </w:r>
      <w:r w:rsidR="00F55505">
        <w:rPr>
          <w:rFonts w:ascii="Calibri" w:eastAsia="Calibri" w:hAnsi="Calibri" w:cs="Times New Roman"/>
        </w:rPr>
        <w:t xml:space="preserve"> s</w:t>
      </w:r>
      <w:r w:rsidRPr="00592117">
        <w:rPr>
          <w:rFonts w:ascii="Calibri" w:eastAsia="Calibri" w:hAnsi="Calibri" w:cs="Times New Roman"/>
        </w:rPr>
        <w:t>oftware that is no longer supported by software vendors except through customized or ad hoc support on a critical need only basis and for a fee. Vendors typically provide 3 years</w:t>
      </w:r>
      <w:r w:rsidR="00F96C7E">
        <w:rPr>
          <w:rFonts w:ascii="Calibri" w:eastAsia="Calibri" w:hAnsi="Calibri" w:cs="Times New Roman"/>
        </w:rPr>
        <w:t xml:space="preserve"> or more</w:t>
      </w:r>
      <w:r w:rsidRPr="00592117">
        <w:rPr>
          <w:rFonts w:ascii="Calibri" w:eastAsia="Calibri" w:hAnsi="Calibri" w:cs="Times New Roman"/>
        </w:rPr>
        <w:t xml:space="preserve"> of warning before the actual </w:t>
      </w:r>
      <w:r w:rsidR="00F55505">
        <w:rPr>
          <w:rFonts w:ascii="Calibri" w:eastAsia="Calibri" w:hAnsi="Calibri" w:cs="Times New Roman"/>
        </w:rPr>
        <w:t>o</w:t>
      </w:r>
      <w:r w:rsidRPr="00592117">
        <w:rPr>
          <w:rFonts w:ascii="Calibri" w:eastAsia="Calibri" w:hAnsi="Calibri" w:cs="Times New Roman"/>
        </w:rPr>
        <w:t xml:space="preserve">ut of </w:t>
      </w:r>
      <w:r w:rsidR="00F55505">
        <w:rPr>
          <w:rFonts w:ascii="Calibri" w:eastAsia="Calibri" w:hAnsi="Calibri" w:cs="Times New Roman"/>
        </w:rPr>
        <w:t>s</w:t>
      </w:r>
      <w:r w:rsidRPr="00592117">
        <w:rPr>
          <w:rFonts w:ascii="Calibri" w:eastAsia="Calibri" w:hAnsi="Calibri" w:cs="Times New Roman"/>
        </w:rPr>
        <w:t xml:space="preserve">upport date.  </w:t>
      </w:r>
    </w:p>
    <w:p w14:paraId="5302C550" w14:textId="77777777" w:rsidR="00F00118" w:rsidRDefault="00F00118" w:rsidP="00E64E85">
      <w:pPr>
        <w:spacing w:after="0"/>
        <w:rPr>
          <w:rFonts w:ascii="Calibri" w:eastAsia="Calibri" w:hAnsi="Calibri" w:cs="Times New Roman"/>
        </w:rPr>
      </w:pPr>
    </w:p>
    <w:p w14:paraId="5302C551" w14:textId="77777777" w:rsidR="00F00118" w:rsidRDefault="00F00118" w:rsidP="00F00118">
      <w:pPr>
        <w:rPr>
          <w:rFonts w:ascii="Calibri" w:eastAsia="Calibri" w:hAnsi="Calibri" w:cs="Times New Roman"/>
        </w:rPr>
      </w:pPr>
      <w:r w:rsidRPr="00582CDC">
        <w:rPr>
          <w:rFonts w:ascii="Calibri" w:eastAsia="Calibri" w:hAnsi="Calibri" w:cs="Times New Roman"/>
          <w:b/>
        </w:rPr>
        <w:t>Refresh</w:t>
      </w:r>
      <w:r>
        <w:rPr>
          <w:rFonts w:ascii="Calibri" w:eastAsia="Calibri" w:hAnsi="Calibri" w:cs="Times New Roman"/>
        </w:rPr>
        <w:t xml:space="preserve">- agency mechanism of updating software for currency. It is triggered by moving the version N to the next release. </w:t>
      </w:r>
    </w:p>
    <w:p w14:paraId="5302C552" w14:textId="77777777" w:rsidR="00DA1862" w:rsidRPr="0085236C" w:rsidRDefault="00592117" w:rsidP="00E64E85">
      <w:pPr>
        <w:spacing w:after="0"/>
        <w:rPr>
          <w:rFonts w:ascii="Calibri" w:eastAsia="Calibri" w:hAnsi="Calibri" w:cs="Times New Roman"/>
          <w:b/>
        </w:rPr>
      </w:pPr>
      <w:r w:rsidRPr="00DF35B5">
        <w:rPr>
          <w:rFonts w:ascii="Calibri" w:eastAsia="Calibri" w:hAnsi="Calibri" w:cs="Times New Roman"/>
          <w:b/>
        </w:rPr>
        <w:t>Unsupported Software</w:t>
      </w:r>
      <w:r w:rsidR="0085236C">
        <w:rPr>
          <w:rFonts w:ascii="Calibri" w:eastAsia="Calibri" w:hAnsi="Calibri" w:cs="Times New Roman"/>
          <w:b/>
        </w:rPr>
        <w:t xml:space="preserve"> – </w:t>
      </w:r>
      <w:r w:rsidR="00966FD2">
        <w:rPr>
          <w:rFonts w:ascii="Calibri" w:eastAsia="Calibri" w:hAnsi="Calibri" w:cs="Times New Roman"/>
        </w:rPr>
        <w:t>refers to s</w:t>
      </w:r>
      <w:r w:rsidRPr="00592117">
        <w:rPr>
          <w:rFonts w:ascii="Calibri" w:eastAsia="Calibri" w:hAnsi="Calibri" w:cs="Times New Roman"/>
        </w:rPr>
        <w:t>oftware for which there are no longer commercial, vendor, or in-house support options, or software that relies on other unsupported</w:t>
      </w:r>
      <w:r w:rsidR="006F3D66">
        <w:rPr>
          <w:rFonts w:ascii="Calibri" w:eastAsia="Calibri" w:hAnsi="Calibri" w:cs="Times New Roman"/>
        </w:rPr>
        <w:t xml:space="preserve"> a</w:t>
      </w:r>
      <w:r w:rsidR="006F3D66" w:rsidRPr="00592117">
        <w:rPr>
          <w:rFonts w:ascii="Calibri" w:eastAsia="Calibri" w:hAnsi="Calibri" w:cs="Times New Roman"/>
        </w:rPr>
        <w:t>pplications</w:t>
      </w:r>
      <w:r w:rsidRPr="00592117">
        <w:rPr>
          <w:rFonts w:ascii="Calibri" w:eastAsia="Calibri" w:hAnsi="Calibri" w:cs="Times New Roman"/>
        </w:rPr>
        <w:t xml:space="preserve"> or</w:t>
      </w:r>
      <w:r w:rsidR="006F3D66">
        <w:rPr>
          <w:rFonts w:ascii="Calibri" w:eastAsia="Calibri" w:hAnsi="Calibri" w:cs="Times New Roman"/>
        </w:rPr>
        <w:t xml:space="preserve"> components</w:t>
      </w:r>
      <w:r w:rsidRPr="00592117">
        <w:rPr>
          <w:rFonts w:ascii="Calibri" w:eastAsia="Calibri" w:hAnsi="Calibri" w:cs="Times New Roman"/>
        </w:rPr>
        <w:t xml:space="preserve">. </w:t>
      </w:r>
    </w:p>
    <w:p w14:paraId="5302C553" w14:textId="77777777" w:rsidR="00DA1862" w:rsidRPr="00A12843" w:rsidRDefault="00DA1862" w:rsidP="00DA1862">
      <w:pPr>
        <w:spacing w:after="0"/>
        <w:ind w:left="360"/>
        <w:rPr>
          <w:rFonts w:ascii="Calibri" w:eastAsia="Calibri" w:hAnsi="Calibri" w:cs="Times New Roman"/>
        </w:rPr>
      </w:pPr>
    </w:p>
    <w:p w14:paraId="5302C554" w14:textId="77777777" w:rsidR="00DA1862" w:rsidRDefault="00DA1862" w:rsidP="00CB43AF">
      <w:pPr>
        <w:pStyle w:val="Heading1"/>
      </w:pPr>
      <w:r w:rsidRPr="00A12843">
        <w:t>References</w:t>
      </w:r>
    </w:p>
    <w:p w14:paraId="5302C555" w14:textId="77777777" w:rsidR="004543AC" w:rsidRDefault="004543AC" w:rsidP="004543AC">
      <w:pPr>
        <w:pStyle w:val="ListParagraph"/>
        <w:numPr>
          <w:ilvl w:val="0"/>
          <w:numId w:val="15"/>
        </w:numPr>
      </w:pPr>
      <w:r>
        <w:t>Texas Administrative Code</w:t>
      </w:r>
      <w:r w:rsidR="00582CDC">
        <w:t>: 1 TAC</w:t>
      </w:r>
      <w:r w:rsidR="00582CDC" w:rsidRPr="00F8114C">
        <w:t xml:space="preserve"> 202</w:t>
      </w:r>
    </w:p>
    <w:p w14:paraId="5302C556" w14:textId="77777777" w:rsidR="004543AC" w:rsidRDefault="00582CDC" w:rsidP="004543AC">
      <w:pPr>
        <w:pStyle w:val="ListParagraph"/>
        <w:numPr>
          <w:ilvl w:val="0"/>
          <w:numId w:val="15"/>
        </w:numPr>
      </w:pPr>
      <w:r>
        <w:t>2016-2020 State Strategic Plan for Information Resources</w:t>
      </w:r>
      <w:r w:rsidR="00DF7010">
        <w:t xml:space="preserve"> Management</w:t>
      </w:r>
    </w:p>
    <w:p w14:paraId="5302C557" w14:textId="77777777" w:rsidR="004543AC" w:rsidRPr="00A12843" w:rsidRDefault="004543AC" w:rsidP="004543AC">
      <w:pPr>
        <w:pStyle w:val="ListParagraph"/>
      </w:pPr>
    </w:p>
    <w:p w14:paraId="5302C558" w14:textId="77777777" w:rsidR="00DA1862" w:rsidRPr="00A12843" w:rsidRDefault="00DA1862" w:rsidP="00CB43AF">
      <w:pPr>
        <w:pStyle w:val="Heading1"/>
      </w:pPr>
      <w:r w:rsidRPr="00A12843">
        <w:t>Version History</w:t>
      </w:r>
    </w:p>
    <w:p w14:paraId="5302C559" w14:textId="77777777" w:rsidR="00635EF6" w:rsidRPr="00826F69" w:rsidRDefault="00DA1862" w:rsidP="00826F69">
      <w:pPr>
        <w:spacing w:after="0"/>
        <w:ind w:left="360"/>
        <w:rPr>
          <w:rFonts w:ascii="Calibri" w:eastAsia="Calibri" w:hAnsi="Calibri" w:cs="Times New Roman"/>
        </w:rPr>
      </w:pPr>
      <w:r w:rsidRPr="00A12843">
        <w:rPr>
          <w:rFonts w:ascii="Calibri" w:eastAsia="Calibri" w:hAnsi="Calibri" w:cs="Times New Roman"/>
        </w:rPr>
        <w:t xml:space="preserve">Version 1.0 – </w:t>
      </w:r>
      <w:r w:rsidR="006E41FF">
        <w:rPr>
          <w:rFonts w:ascii="Calibri" w:eastAsia="Calibri" w:hAnsi="Calibri" w:cs="Times New Roman"/>
        </w:rPr>
        <w:t>Month</w:t>
      </w:r>
      <w:r w:rsidRPr="00A1284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XX</w:t>
      </w:r>
      <w:r w:rsidRPr="00A12843">
        <w:rPr>
          <w:rFonts w:ascii="Calibri" w:eastAsia="Calibri" w:hAnsi="Calibri" w:cs="Times New Roman"/>
        </w:rPr>
        <w:t xml:space="preserve">, </w:t>
      </w:r>
      <w:r w:rsidR="006E41FF">
        <w:rPr>
          <w:rFonts w:ascii="Calibri" w:eastAsia="Calibri" w:hAnsi="Calibri" w:cs="Times New Roman"/>
        </w:rPr>
        <w:t>Year</w:t>
      </w:r>
      <w:r w:rsidRPr="00A12843">
        <w:rPr>
          <w:rFonts w:ascii="Calibri" w:eastAsia="Calibri" w:hAnsi="Calibri" w:cs="Times New Roman"/>
        </w:rPr>
        <w:t xml:space="preserve"> – Adopted policy.</w:t>
      </w:r>
    </w:p>
    <w:p w14:paraId="5302C55A" w14:textId="77777777" w:rsidR="00311817" w:rsidRPr="00311817" w:rsidRDefault="00311817" w:rsidP="00311817">
      <w:pPr>
        <w:spacing w:after="0"/>
        <w:ind w:left="360"/>
        <w:rPr>
          <w:rFonts w:ascii="Calibri" w:eastAsia="Calibri" w:hAnsi="Calibri" w:cs="Times New Roman"/>
        </w:rPr>
      </w:pPr>
    </w:p>
    <w:sectPr w:rsidR="00311817" w:rsidRPr="003118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2C55E" w14:textId="77777777" w:rsidR="006F700D" w:rsidRDefault="006F700D" w:rsidP="00FF610D">
      <w:pPr>
        <w:spacing w:after="0" w:line="240" w:lineRule="auto"/>
      </w:pPr>
      <w:r>
        <w:separator/>
      </w:r>
    </w:p>
  </w:endnote>
  <w:endnote w:type="continuationSeparator" w:id="0">
    <w:p w14:paraId="5302C55F" w14:textId="77777777" w:rsidR="006F700D" w:rsidRDefault="006F700D" w:rsidP="00FF610D">
      <w:pPr>
        <w:spacing w:after="0" w:line="240" w:lineRule="auto"/>
      </w:pPr>
      <w:r>
        <w:continuationSeparator/>
      </w:r>
    </w:p>
  </w:endnote>
  <w:endnote w:type="continuationNotice" w:id="1">
    <w:p w14:paraId="5302C560" w14:textId="77777777" w:rsidR="006F700D" w:rsidRDefault="006F7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A097" w14:textId="77777777" w:rsidR="00A13A64" w:rsidRDefault="00A13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C562" w14:textId="77777777" w:rsidR="002B3F02" w:rsidRDefault="002B3F02">
    <w:pPr>
      <w:pStyle w:val="Footer"/>
    </w:pPr>
    <w:r>
      <w:t>Texas Department of Information Resources</w:t>
    </w:r>
    <w:r>
      <w:tab/>
      <w:t>DRAFT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CC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DF04" w14:textId="77777777" w:rsidR="00A13A64" w:rsidRDefault="00A13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C55B" w14:textId="77777777" w:rsidR="006F700D" w:rsidRDefault="006F700D" w:rsidP="00FF610D">
      <w:pPr>
        <w:spacing w:after="0" w:line="240" w:lineRule="auto"/>
      </w:pPr>
      <w:r>
        <w:separator/>
      </w:r>
    </w:p>
  </w:footnote>
  <w:footnote w:type="continuationSeparator" w:id="0">
    <w:p w14:paraId="5302C55C" w14:textId="77777777" w:rsidR="006F700D" w:rsidRDefault="006F700D" w:rsidP="00FF610D">
      <w:pPr>
        <w:spacing w:after="0" w:line="240" w:lineRule="auto"/>
      </w:pPr>
      <w:r>
        <w:continuationSeparator/>
      </w:r>
    </w:p>
  </w:footnote>
  <w:footnote w:type="continuationNotice" w:id="1">
    <w:p w14:paraId="5302C55D" w14:textId="77777777" w:rsidR="006F700D" w:rsidRDefault="006F7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C601" w14:textId="77777777" w:rsidR="00A13A64" w:rsidRDefault="00A13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C561" w14:textId="77777777" w:rsidR="002756A4" w:rsidRDefault="00275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0ECC" w14:textId="77777777" w:rsidR="00A13A64" w:rsidRDefault="00A13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CED"/>
    <w:multiLevelType w:val="hybridMultilevel"/>
    <w:tmpl w:val="DF6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C4E"/>
    <w:multiLevelType w:val="hybridMultilevel"/>
    <w:tmpl w:val="76587BFA"/>
    <w:lvl w:ilvl="0" w:tplc="90EC5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75B"/>
    <w:multiLevelType w:val="hybridMultilevel"/>
    <w:tmpl w:val="736ED4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2A13098"/>
    <w:multiLevelType w:val="hybridMultilevel"/>
    <w:tmpl w:val="6D7A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F68"/>
    <w:multiLevelType w:val="hybridMultilevel"/>
    <w:tmpl w:val="0272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73B1"/>
    <w:multiLevelType w:val="hybridMultilevel"/>
    <w:tmpl w:val="3F028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D7F8D"/>
    <w:multiLevelType w:val="hybridMultilevel"/>
    <w:tmpl w:val="F894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139E"/>
    <w:multiLevelType w:val="hybridMultilevel"/>
    <w:tmpl w:val="8796F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A0253"/>
    <w:multiLevelType w:val="hybridMultilevel"/>
    <w:tmpl w:val="B36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2708"/>
    <w:multiLevelType w:val="hybridMultilevel"/>
    <w:tmpl w:val="553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19BA"/>
    <w:multiLevelType w:val="hybridMultilevel"/>
    <w:tmpl w:val="6C80F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C2103"/>
    <w:multiLevelType w:val="hybridMultilevel"/>
    <w:tmpl w:val="60CE5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A68C0"/>
    <w:multiLevelType w:val="hybridMultilevel"/>
    <w:tmpl w:val="BF5A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34E1E"/>
    <w:multiLevelType w:val="hybridMultilevel"/>
    <w:tmpl w:val="30C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A3F9C"/>
    <w:multiLevelType w:val="hybridMultilevel"/>
    <w:tmpl w:val="DECA6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D0"/>
    <w:rsid w:val="000063C3"/>
    <w:rsid w:val="0000701F"/>
    <w:rsid w:val="00011A6C"/>
    <w:rsid w:val="00031A46"/>
    <w:rsid w:val="0003424B"/>
    <w:rsid w:val="00034834"/>
    <w:rsid w:val="000514FF"/>
    <w:rsid w:val="000547BE"/>
    <w:rsid w:val="00055510"/>
    <w:rsid w:val="000620B2"/>
    <w:rsid w:val="00063895"/>
    <w:rsid w:val="00065B7C"/>
    <w:rsid w:val="000730D7"/>
    <w:rsid w:val="00074278"/>
    <w:rsid w:val="00076371"/>
    <w:rsid w:val="0008640E"/>
    <w:rsid w:val="0009193F"/>
    <w:rsid w:val="00096096"/>
    <w:rsid w:val="000B5550"/>
    <w:rsid w:val="000C3008"/>
    <w:rsid w:val="000D1830"/>
    <w:rsid w:val="000E705D"/>
    <w:rsid w:val="00102B3F"/>
    <w:rsid w:val="001168E7"/>
    <w:rsid w:val="001272C1"/>
    <w:rsid w:val="0014224A"/>
    <w:rsid w:val="0014508D"/>
    <w:rsid w:val="00160254"/>
    <w:rsid w:val="001610CB"/>
    <w:rsid w:val="00163BA4"/>
    <w:rsid w:val="001909FE"/>
    <w:rsid w:val="001A0C23"/>
    <w:rsid w:val="001A3ECA"/>
    <w:rsid w:val="001A670B"/>
    <w:rsid w:val="001B6219"/>
    <w:rsid w:val="001C08AC"/>
    <w:rsid w:val="001C1704"/>
    <w:rsid w:val="001C3DB3"/>
    <w:rsid w:val="001C5A69"/>
    <w:rsid w:val="001C673D"/>
    <w:rsid w:val="001D67DF"/>
    <w:rsid w:val="001D717B"/>
    <w:rsid w:val="001E177B"/>
    <w:rsid w:val="001F40C8"/>
    <w:rsid w:val="002135A9"/>
    <w:rsid w:val="00230A4B"/>
    <w:rsid w:val="00236F2C"/>
    <w:rsid w:val="00237869"/>
    <w:rsid w:val="002408D4"/>
    <w:rsid w:val="00250298"/>
    <w:rsid w:val="0025658B"/>
    <w:rsid w:val="00256F54"/>
    <w:rsid w:val="002737A1"/>
    <w:rsid w:val="002756A4"/>
    <w:rsid w:val="00286C4A"/>
    <w:rsid w:val="002B1757"/>
    <w:rsid w:val="002B3099"/>
    <w:rsid w:val="002B3F02"/>
    <w:rsid w:val="002B6B72"/>
    <w:rsid w:val="002D2EB1"/>
    <w:rsid w:val="002E6E74"/>
    <w:rsid w:val="002F0109"/>
    <w:rsid w:val="003015FA"/>
    <w:rsid w:val="00310D47"/>
    <w:rsid w:val="00311817"/>
    <w:rsid w:val="0034361A"/>
    <w:rsid w:val="00356DAF"/>
    <w:rsid w:val="00372639"/>
    <w:rsid w:val="0037505E"/>
    <w:rsid w:val="00377C18"/>
    <w:rsid w:val="003821FD"/>
    <w:rsid w:val="0039020B"/>
    <w:rsid w:val="003971A3"/>
    <w:rsid w:val="003A5BE7"/>
    <w:rsid w:val="003A6CCD"/>
    <w:rsid w:val="003A7305"/>
    <w:rsid w:val="003D1881"/>
    <w:rsid w:val="003D5E99"/>
    <w:rsid w:val="003D6FFA"/>
    <w:rsid w:val="003E1ADA"/>
    <w:rsid w:val="003E6E10"/>
    <w:rsid w:val="003E75FD"/>
    <w:rsid w:val="003F033F"/>
    <w:rsid w:val="003F5B0E"/>
    <w:rsid w:val="00401FD9"/>
    <w:rsid w:val="00406004"/>
    <w:rsid w:val="00410961"/>
    <w:rsid w:val="0044008B"/>
    <w:rsid w:val="004414A4"/>
    <w:rsid w:val="00445504"/>
    <w:rsid w:val="00453D98"/>
    <w:rsid w:val="004543AC"/>
    <w:rsid w:val="0045488F"/>
    <w:rsid w:val="00454FC4"/>
    <w:rsid w:val="00463E16"/>
    <w:rsid w:val="00463F28"/>
    <w:rsid w:val="0046686D"/>
    <w:rsid w:val="00473B9A"/>
    <w:rsid w:val="0048725B"/>
    <w:rsid w:val="00495746"/>
    <w:rsid w:val="004A4107"/>
    <w:rsid w:val="004B306A"/>
    <w:rsid w:val="004B466A"/>
    <w:rsid w:val="004C2D10"/>
    <w:rsid w:val="004C42B3"/>
    <w:rsid w:val="004C6FD3"/>
    <w:rsid w:val="004D4128"/>
    <w:rsid w:val="004E06BA"/>
    <w:rsid w:val="004E4639"/>
    <w:rsid w:val="004F00E3"/>
    <w:rsid w:val="004F12E8"/>
    <w:rsid w:val="00517964"/>
    <w:rsid w:val="00522EE1"/>
    <w:rsid w:val="00532462"/>
    <w:rsid w:val="00546CDF"/>
    <w:rsid w:val="00556970"/>
    <w:rsid w:val="0056455E"/>
    <w:rsid w:val="0057702E"/>
    <w:rsid w:val="00582CDC"/>
    <w:rsid w:val="00591C80"/>
    <w:rsid w:val="00592117"/>
    <w:rsid w:val="00592E97"/>
    <w:rsid w:val="00597E4C"/>
    <w:rsid w:val="005A1292"/>
    <w:rsid w:val="005A5F95"/>
    <w:rsid w:val="005A696F"/>
    <w:rsid w:val="005B136D"/>
    <w:rsid w:val="005B2DEE"/>
    <w:rsid w:val="005B5004"/>
    <w:rsid w:val="005D17E2"/>
    <w:rsid w:val="005D2538"/>
    <w:rsid w:val="005D5ECB"/>
    <w:rsid w:val="005E252B"/>
    <w:rsid w:val="005E79F0"/>
    <w:rsid w:val="00601C43"/>
    <w:rsid w:val="00603849"/>
    <w:rsid w:val="00604860"/>
    <w:rsid w:val="00635EF6"/>
    <w:rsid w:val="00637C86"/>
    <w:rsid w:val="0066578F"/>
    <w:rsid w:val="0069194E"/>
    <w:rsid w:val="00697822"/>
    <w:rsid w:val="00697941"/>
    <w:rsid w:val="00697A7D"/>
    <w:rsid w:val="006A2818"/>
    <w:rsid w:val="006A38D8"/>
    <w:rsid w:val="006A51FB"/>
    <w:rsid w:val="006B04B8"/>
    <w:rsid w:val="006B61F8"/>
    <w:rsid w:val="006C4DCE"/>
    <w:rsid w:val="006D3BB5"/>
    <w:rsid w:val="006D4B7F"/>
    <w:rsid w:val="006D5D60"/>
    <w:rsid w:val="006E41FF"/>
    <w:rsid w:val="006F193D"/>
    <w:rsid w:val="006F334E"/>
    <w:rsid w:val="006F3D66"/>
    <w:rsid w:val="006F55B3"/>
    <w:rsid w:val="006F700D"/>
    <w:rsid w:val="00713004"/>
    <w:rsid w:val="00716B92"/>
    <w:rsid w:val="00724D5F"/>
    <w:rsid w:val="00734BDA"/>
    <w:rsid w:val="00745106"/>
    <w:rsid w:val="00745568"/>
    <w:rsid w:val="00747870"/>
    <w:rsid w:val="007608B4"/>
    <w:rsid w:val="007610F4"/>
    <w:rsid w:val="007620D6"/>
    <w:rsid w:val="0076408C"/>
    <w:rsid w:val="00775275"/>
    <w:rsid w:val="00776FB8"/>
    <w:rsid w:val="007A7B09"/>
    <w:rsid w:val="007B04FD"/>
    <w:rsid w:val="007B5BD5"/>
    <w:rsid w:val="007C7CCB"/>
    <w:rsid w:val="007D0CEA"/>
    <w:rsid w:val="007D53C1"/>
    <w:rsid w:val="007D57D0"/>
    <w:rsid w:val="007F179E"/>
    <w:rsid w:val="00801C99"/>
    <w:rsid w:val="0082028B"/>
    <w:rsid w:val="00820A11"/>
    <w:rsid w:val="00825087"/>
    <w:rsid w:val="00826F69"/>
    <w:rsid w:val="00831527"/>
    <w:rsid w:val="00834183"/>
    <w:rsid w:val="00834B7F"/>
    <w:rsid w:val="00835501"/>
    <w:rsid w:val="0085236C"/>
    <w:rsid w:val="0085510E"/>
    <w:rsid w:val="00860E3A"/>
    <w:rsid w:val="00861A78"/>
    <w:rsid w:val="0087124A"/>
    <w:rsid w:val="008802AA"/>
    <w:rsid w:val="00887835"/>
    <w:rsid w:val="008A7AE1"/>
    <w:rsid w:val="008D4770"/>
    <w:rsid w:val="008E140F"/>
    <w:rsid w:val="00904233"/>
    <w:rsid w:val="00913B01"/>
    <w:rsid w:val="00914677"/>
    <w:rsid w:val="0092138D"/>
    <w:rsid w:val="00942A8F"/>
    <w:rsid w:val="0096600D"/>
    <w:rsid w:val="00966FD2"/>
    <w:rsid w:val="00967637"/>
    <w:rsid w:val="009839FA"/>
    <w:rsid w:val="009B2423"/>
    <w:rsid w:val="009C2DAA"/>
    <w:rsid w:val="009E037E"/>
    <w:rsid w:val="009E7CAF"/>
    <w:rsid w:val="009F0B43"/>
    <w:rsid w:val="009F2615"/>
    <w:rsid w:val="009F2E53"/>
    <w:rsid w:val="009F42C2"/>
    <w:rsid w:val="009F5674"/>
    <w:rsid w:val="009F7BAB"/>
    <w:rsid w:val="00A02596"/>
    <w:rsid w:val="00A13A64"/>
    <w:rsid w:val="00A23022"/>
    <w:rsid w:val="00A24F1B"/>
    <w:rsid w:val="00A339F7"/>
    <w:rsid w:val="00A35DA5"/>
    <w:rsid w:val="00A44C24"/>
    <w:rsid w:val="00A60F2A"/>
    <w:rsid w:val="00A63774"/>
    <w:rsid w:val="00A65837"/>
    <w:rsid w:val="00A66C8D"/>
    <w:rsid w:val="00A700D9"/>
    <w:rsid w:val="00A80FEE"/>
    <w:rsid w:val="00A81F78"/>
    <w:rsid w:val="00A8376B"/>
    <w:rsid w:val="00A85321"/>
    <w:rsid w:val="00A95127"/>
    <w:rsid w:val="00AA5C80"/>
    <w:rsid w:val="00AA7D7B"/>
    <w:rsid w:val="00AB3E85"/>
    <w:rsid w:val="00AC0016"/>
    <w:rsid w:val="00AC5A19"/>
    <w:rsid w:val="00AC74A4"/>
    <w:rsid w:val="00AD2408"/>
    <w:rsid w:val="00AD2D17"/>
    <w:rsid w:val="00AE288F"/>
    <w:rsid w:val="00AE755D"/>
    <w:rsid w:val="00B048BC"/>
    <w:rsid w:val="00B30E61"/>
    <w:rsid w:val="00B431FD"/>
    <w:rsid w:val="00B4653B"/>
    <w:rsid w:val="00B50F32"/>
    <w:rsid w:val="00B5492C"/>
    <w:rsid w:val="00B56CE0"/>
    <w:rsid w:val="00B570E8"/>
    <w:rsid w:val="00B75A70"/>
    <w:rsid w:val="00B80CB0"/>
    <w:rsid w:val="00B81F8B"/>
    <w:rsid w:val="00B82446"/>
    <w:rsid w:val="00B944BD"/>
    <w:rsid w:val="00BB2080"/>
    <w:rsid w:val="00BB43A0"/>
    <w:rsid w:val="00BB70C5"/>
    <w:rsid w:val="00BC6944"/>
    <w:rsid w:val="00BD580C"/>
    <w:rsid w:val="00BD73BB"/>
    <w:rsid w:val="00BE05E0"/>
    <w:rsid w:val="00BE2FA2"/>
    <w:rsid w:val="00BF0F77"/>
    <w:rsid w:val="00C06FC4"/>
    <w:rsid w:val="00C2247E"/>
    <w:rsid w:val="00C3342A"/>
    <w:rsid w:val="00C410F3"/>
    <w:rsid w:val="00C44120"/>
    <w:rsid w:val="00C47409"/>
    <w:rsid w:val="00C564B3"/>
    <w:rsid w:val="00C6676A"/>
    <w:rsid w:val="00C73ABC"/>
    <w:rsid w:val="00C7622B"/>
    <w:rsid w:val="00C86E99"/>
    <w:rsid w:val="00CA13F7"/>
    <w:rsid w:val="00CA14E6"/>
    <w:rsid w:val="00CA360C"/>
    <w:rsid w:val="00CB20DA"/>
    <w:rsid w:val="00CB43AF"/>
    <w:rsid w:val="00CC3EC2"/>
    <w:rsid w:val="00CC6413"/>
    <w:rsid w:val="00CC7335"/>
    <w:rsid w:val="00CD3ABD"/>
    <w:rsid w:val="00CD6913"/>
    <w:rsid w:val="00CF0128"/>
    <w:rsid w:val="00CF1C6F"/>
    <w:rsid w:val="00CF3FB6"/>
    <w:rsid w:val="00CF768B"/>
    <w:rsid w:val="00D31129"/>
    <w:rsid w:val="00D370E6"/>
    <w:rsid w:val="00D43B83"/>
    <w:rsid w:val="00D533BA"/>
    <w:rsid w:val="00D54DEA"/>
    <w:rsid w:val="00D57BEB"/>
    <w:rsid w:val="00D62290"/>
    <w:rsid w:val="00D759E2"/>
    <w:rsid w:val="00D75D70"/>
    <w:rsid w:val="00D77C4C"/>
    <w:rsid w:val="00D85333"/>
    <w:rsid w:val="00D9013D"/>
    <w:rsid w:val="00D90270"/>
    <w:rsid w:val="00D92882"/>
    <w:rsid w:val="00D96DF2"/>
    <w:rsid w:val="00DA1862"/>
    <w:rsid w:val="00DA5FAB"/>
    <w:rsid w:val="00DB2C3F"/>
    <w:rsid w:val="00DC38C3"/>
    <w:rsid w:val="00DD4A3C"/>
    <w:rsid w:val="00DE1AC6"/>
    <w:rsid w:val="00DE6BA1"/>
    <w:rsid w:val="00DF35B5"/>
    <w:rsid w:val="00DF6DDB"/>
    <w:rsid w:val="00DF7010"/>
    <w:rsid w:val="00DF75F5"/>
    <w:rsid w:val="00E06FB7"/>
    <w:rsid w:val="00E10CD9"/>
    <w:rsid w:val="00E11BC1"/>
    <w:rsid w:val="00E13E7E"/>
    <w:rsid w:val="00E13FE4"/>
    <w:rsid w:val="00E209A6"/>
    <w:rsid w:val="00E4231B"/>
    <w:rsid w:val="00E613A2"/>
    <w:rsid w:val="00E64E85"/>
    <w:rsid w:val="00E74228"/>
    <w:rsid w:val="00E863EE"/>
    <w:rsid w:val="00E96CF4"/>
    <w:rsid w:val="00EA6C83"/>
    <w:rsid w:val="00EC12C6"/>
    <w:rsid w:val="00EC1B07"/>
    <w:rsid w:val="00EC4432"/>
    <w:rsid w:val="00EC48B3"/>
    <w:rsid w:val="00ED1D0C"/>
    <w:rsid w:val="00EE2C5F"/>
    <w:rsid w:val="00F00118"/>
    <w:rsid w:val="00F05BDD"/>
    <w:rsid w:val="00F256A9"/>
    <w:rsid w:val="00F26516"/>
    <w:rsid w:val="00F30164"/>
    <w:rsid w:val="00F3187E"/>
    <w:rsid w:val="00F32CD0"/>
    <w:rsid w:val="00F3324D"/>
    <w:rsid w:val="00F35056"/>
    <w:rsid w:val="00F50B7B"/>
    <w:rsid w:val="00F52059"/>
    <w:rsid w:val="00F55505"/>
    <w:rsid w:val="00F61DB6"/>
    <w:rsid w:val="00F676BD"/>
    <w:rsid w:val="00F71C16"/>
    <w:rsid w:val="00F72FC3"/>
    <w:rsid w:val="00F8114C"/>
    <w:rsid w:val="00F941A6"/>
    <w:rsid w:val="00F96C7E"/>
    <w:rsid w:val="00FC7BB5"/>
    <w:rsid w:val="00FD4A4E"/>
    <w:rsid w:val="00FD79CB"/>
    <w:rsid w:val="00FF548B"/>
    <w:rsid w:val="00FF610D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2C51A"/>
  <w15:chartTrackingRefBased/>
  <w15:docId w15:val="{A70CC8B8-AA8C-4E42-80EE-DC786346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22"/>
  </w:style>
  <w:style w:type="paragraph" w:styleId="Heading1">
    <w:name w:val="heading 1"/>
    <w:basedOn w:val="Normal"/>
    <w:next w:val="Normal"/>
    <w:link w:val="Heading1Char"/>
    <w:uiPriority w:val="9"/>
    <w:qFormat/>
    <w:rsid w:val="00CB43AF"/>
    <w:pPr>
      <w:keepNext/>
      <w:keepLines/>
      <w:spacing w:before="200" w:after="0"/>
      <w:outlineLvl w:val="0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3AF"/>
    <w:pPr>
      <w:spacing w:after="0"/>
      <w:outlineLvl w:val="1"/>
    </w:pPr>
    <w:rPr>
      <w:rFonts w:ascii="Cambria" w:eastAsia="Times New Roman" w:hAnsi="Cambria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B3"/>
    <w:rPr>
      <w:rFonts w:ascii="Segoe UI" w:hAnsi="Segoe UI" w:cs="Segoe UI"/>
      <w:sz w:val="18"/>
      <w:szCs w:val="18"/>
    </w:rPr>
  </w:style>
  <w:style w:type="character" w:customStyle="1" w:styleId="leadinphrasesummary">
    <w:name w:val="leadinphrase_summary"/>
    <w:basedOn w:val="DefaultParagraphFont"/>
    <w:rsid w:val="001A0C23"/>
  </w:style>
  <w:style w:type="character" w:styleId="Hyperlink">
    <w:name w:val="Hyperlink"/>
    <w:basedOn w:val="DefaultParagraphFont"/>
    <w:uiPriority w:val="99"/>
    <w:unhideWhenUsed/>
    <w:rsid w:val="001A0C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02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0298"/>
    <w:rPr>
      <w:i/>
      <w:iCs/>
      <w:color w:val="5B9BD5" w:themeColor="accent1"/>
    </w:rPr>
  </w:style>
  <w:style w:type="paragraph" w:styleId="Revision">
    <w:name w:val="Revision"/>
    <w:hidden/>
    <w:uiPriority w:val="99"/>
    <w:semiHidden/>
    <w:rsid w:val="00AE75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0D"/>
  </w:style>
  <w:style w:type="paragraph" w:styleId="Footer">
    <w:name w:val="footer"/>
    <w:basedOn w:val="Normal"/>
    <w:link w:val="FooterChar"/>
    <w:uiPriority w:val="99"/>
    <w:unhideWhenUsed/>
    <w:rsid w:val="00FF6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0D"/>
  </w:style>
  <w:style w:type="paragraph" w:styleId="FootnoteText">
    <w:name w:val="footnote text"/>
    <w:basedOn w:val="Normal"/>
    <w:link w:val="FootnoteTextChar"/>
    <w:uiPriority w:val="99"/>
    <w:semiHidden/>
    <w:unhideWhenUsed/>
    <w:rsid w:val="006F55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55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55B3"/>
    <w:rPr>
      <w:vertAlign w:val="superscript"/>
    </w:rPr>
  </w:style>
  <w:style w:type="paragraph" w:styleId="NoSpacing">
    <w:name w:val="No Spacing"/>
    <w:uiPriority w:val="1"/>
    <w:qFormat/>
    <w:rsid w:val="00734BD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F17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179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B43AF"/>
    <w:pPr>
      <w:pBdr>
        <w:bottom w:val="single" w:sz="8" w:space="4" w:color="5B9BD5" w:themeColor="accent1"/>
      </w:pBdr>
      <w:spacing w:after="300"/>
      <w:contextualSpacing/>
    </w:pPr>
    <w:rPr>
      <w:smallCaps/>
      <w:color w:val="323E4F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B43AF"/>
    <w:rPr>
      <w:smallCaps/>
      <w:color w:val="323E4F" w:themeColor="text2" w:themeShade="BF"/>
      <w:spacing w:val="5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B43A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43AF"/>
    <w:rPr>
      <w:rFonts w:ascii="Cambria" w:eastAsia="Times New Roman" w:hAnsi="Cambria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B4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ir.texas.gov/View-Resources/Pages/Content.aspx?id=3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A starting point for developing agency internal policy that reduces the use of unsupported software and decreases security vulnerabilities in state agency IT systems.</DocumentSummary>
    <DocumentPublishDate xmlns="1624d5a5-934e-431c-bdeb-2205adc15921">2016-07-06T05:00:00+00:00</DocumentPublishDate>
    <DIRDepartment xmlns="1624d5a5-934e-431c-bdeb-2205adc15921">Policy &amp; Planning</DIRDepartment>
    <SearchSummary xmlns="1624d5a5-934e-431c-bdeb-2205adc15921">A starting point for developing agency internal policy that reduces the use of unsupported software and decreases security vulnerabilities in state agency IT systems.</SearchSummary>
    <DocumentExtension xmlns="1624d5a5-934e-431c-bdeb-2205adc15921">docx</DocumentExtension>
    <DocumentCategory xmlns="1624d5a5-934e-431c-bdeb-2205adc15921">Templates</DocumentCategory>
    <RedirectURL xmlns="1624d5a5-934e-431c-bdeb-2205adc15921">/portal/internal/resources/DocumentLibrary/Software Currency Policy Template.docx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38.023418032</DocumentSize>
    <TSLACType xmlns="1624d5a5-934e-431c-bdeb-2205adc15921">Reference materials</TSLACType>
    <SearchKeywords xmlns="1624d5a5-934e-431c-bdeb-2205adc15921">technical debt, ssp, strategic goal, strategy, actionable goal, exampls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87938-7984-4EFC-9045-F9F683D441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6E59E-42D7-4002-9391-2FFB6879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d5a5-934e-431c-bdeb-2205adc15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6ADE2-90FB-491B-A716-A23312259140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customXml/itemProps4.xml><?xml version="1.0" encoding="utf-8"?>
<ds:datastoreItem xmlns:ds="http://schemas.openxmlformats.org/officeDocument/2006/customXml" ds:itemID="{1FB8E4A6-79C4-4F1D-87D1-403DC9E902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Information Resources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Currency Policy Template</dc:title>
  <dc:subject/>
  <dc:creator>Myers, Brooks</dc:creator>
  <cp:keywords/>
  <dc:description/>
  <cp:lastModifiedBy>Susan Laporte</cp:lastModifiedBy>
  <cp:revision>2</cp:revision>
  <cp:lastPrinted>2015-09-15T15:00:00Z</cp:lastPrinted>
  <dcterms:created xsi:type="dcterms:W3CDTF">2021-02-25T16:46:00Z</dcterms:created>
  <dcterms:modified xsi:type="dcterms:W3CDTF">2021-02-25T16:46:00Z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</vt:lpwstr>
  </property>
</Properties>
</file>